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ZD24.021426 vom 3. April 2025</w:t>
      </w:r>
    </w:p>
    <w:p>
      <w:r>
        <w:t>VD Tribunal cantonal, 2025-04-03, FR</w:t>
      </w:r>
    </w:p>
    <w:p>
      <w:r>
        <w:rPr>
          <w:b/>
        </w:rPr>
        <w:t xml:space="preserve">Quelle: </w:t>
      </w:r>
      <w:r>
        <w:t>https://mcp.opencaselaw.ch/entscheid/vd_gerichte_ZD24.021426</w:t>
      </w:r>
    </w:p>
    <w:p>
      <w:r>
        <w:t>FR: VD_GERICHTE ZD24.021426 du 3 avril 2025</w:t>
      </w:r>
    </w:p>
    <w:p>
      <w:r>
        <w:t>IT: VD_GERICHTE ZD24.021426 del 3 aprile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w:t>
      </w:r>
    </w:p>
    <w:p>
      <w:r>
        <w:t>- 10 -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- 11 -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En l’espèce, l’intimé a instruit la demande du recourant en sollicitant des rapports médicaux auprès de la médecin généraliste et de la spécialiste en diabétologie qui le suivent depuis plusieurs années. Face aux objections émises par l’intéressé à l’encontre de son projet de décision, l’avis de la permanence SMR a été sollicité. Celle-ci a validé l’appréciation de la situation médicale faite par l’intimé et a uniquement préconisé de s’assurer qu’il n’y avait pas de suivi psychiatrique en cours. La décision litigieuse a été rendue après confirmation qu’il n’y avait pas de tel suivi. a) Dans un premier moyen, le recourant a fait valoir que l’intimé n’avait pas tenu compte des conclusions du rapport d’évaluation neuropsychologique joint à sa demande de prestations. A ce propos, il convient de relever que les évaluations neuropsychologiques portent sur les principales fonctions cognitives telles que la mémoire, l'attention ou la perception. Elles ont pour but le suivi des patients et permettent l'appréciation de l'évolution des troubles intellectuels dans le temps tout en évaluant les possibilités de réinsertion professionnelle. Elles visent également à fournir des conseils aux patients et à leur famille pour la poursuite de la réinsertion familiale et sociale (cf. www.chuv.ch, rubriques Patient et famille, Nos consultations, Neuropsychologie). Tel est le cas du rapport dont se prévaut le recourant, puisque leurs auteures n’ont pas posé de diagnostic ni attesté d’incapacité de travail. Il s’agit uniquement de présenter les résultats des tests et d’en faire une synthèse. En l’occurrence, les psychologues ont émis l’hypothèse d’une limitation partielle des capacités fonctionnelles dans le cadre professionnel, sans autre précision.</w:t>
      </w:r>
    </w:p>
    <w:p>
      <w:r>
        <w:t>- 12 - Cela étant, interrogée par l’intimé, la Dre V.________ a procédé à une évaluation de la capacité de travail du recourant en tenant compte des résultats de ce test. Elle a évoqué une capacité de travail nulle dans l’activité d’agent de voyage pour laquelle il s’était formé, en exposant que sa lenteur et sa personnalité, qualifiée de « particulière », étaient un frein à tout engagement dans ce domaine. Elle estimait en revanche que sa capacité de travail était entière dans une activité adaptée à sa lenteur depuis le 1er août 2023. Par ailleurs, il convient de relever que face aux objections du recourant, l’intimé a sollicité l’avis de la permanence du SMR en lui adressant un compte-rendu étendu du dossier comprenant les conclusions du rapport d’évaluation neuropsychologique du 12 mai 2023 et ainsi que des éléments tirés de l’anamnèse. Il est ainsi constant que cette pièce a été dûment analysée par l’intimé avant de rendre sa décision. b) Dans un second moyen, le recourant a reproché à l’intimé d’avoir fondé sa décision sur un avis SMR dépourvu de valeur probante en l’absence d’anamnèse, d’observations cliniques, de description des plaintes et de prise en compte du parcours professionnel. Contrairement à ce que semble soutenir le recourant, l’intimé a uniquement sollicité l’avis de la permanence SMR, afin de déterminer si des investigations complémentaires étaient nécessaires ou si les pièces recueillies permettaient de rendre une décision. Cette démarche s’inscrit dans le cadre fixé par les art. 54a LAI et 49 al. 1 et 3 RAI. De tels avis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fonctions différentes, ces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w:t>
      </w:r>
    </w:p>
    <w:p>
      <w:r>
        <w:t>- 13 - médicale et d’une appréciation de celle-ci (ATF 142 V 58 consid. 5.1 ; TF 9C_10/2017 du 27 mars 2017 consid. 5.1 et les références citées ; TF 9C_542/2011 du 26 janvier 2012 consid. 4.1 et les références citées). En l’occurrence, le SMR a confirmé que l’intimé avait correctement interprété les éléments médicaux à disposition et que l’instruction pourrait être close après confirmation qu’aucun suivi psychiatrique n’était en cours. Les rapports médicaux des médecins traitants étant fondés sur des examens cliniques, le SMR pouvait tout à fait évaluer la situation médicale sans procéder à un nouvel examen du recourant. c) En définitive, l’argumentation du recourant repose essentiellement sur le fait qu’il n’a jamais réussi à trouver un emploi depuis la fin de sa formation d’agent de voyage, hormis des emplois temporaires de réinsertion. La Dre V.________ a estimé que la lenteur particulière du recourant pouvait expliquer l’absence d’engagement dans son domaine de formation, mais qu’une capacité entière existait dans une activité adaptée. Il s’agit, en d’autres termes, d’activités peu exigeantes sur le plan de la réactivité ou de l’attention soutenue. L’évaluation de la capacité de travail proposée par la médecin généraliste traitante semble particulièrement favorable à son patient. En effet, le rapport d’évaluation neuropsychologique sur lequel elle s’est fondée posait un bilan plutôt favorable, montrant des ressources intellectuelles légèrement hétérogènes mais dans la moyenne, des déficits cognitifs modérés et quelques faiblesses n’empêchant pas un effort cognitif adéquat. A cela s’ajoute que l’anamnèse de ce rapport n’a pas mis en relation les quelques faiblesses révélées par le bilan neuropsychologiques avec un événement de vie particulier, de sorte qu’elles ont vraisemblablement toujours existé. Pourtant, elles n’ont pas empêché l’intéressé d’obtenir un CFC d’employé de commerce, de suivre diverses formations complémentaires avec succès, puis d’exercer son métier durant quelques mois. Dans ces conditions, l’absence d’exigibilité d’une capacité de travail dans une</w:t>
      </w:r>
    </w:p>
    <w:p>
      <w:r>
        <w:t>- 14 - activité adaptée avant le 1er août 2023 mentionnée par la Dre V.________ dans son rapport du 7 août 2023 est manifestement fondée sur l’absence d’intégration sur le marché du travail plutôt que sur des motifs médicaux. Au surplus, elle a indiqué par ailleurs qu’elle n’avait jamais délivré d’arrêt de travail depuis qu’elle le connaissait, soit depuis 2015. De son côté, la Dre M.________ a posé le diagnostic de syndrome métabolique avec diabète de type 2 et obésité morbide, en précisant qu’il n’avait pas d’incidence sur la capacité de travail et qu’une activité de bureau, avec une place de travail calme et des horaires de travail réguliers était adaptée. Il n’est dès lors pas compréhensible qu’elle évalue la capacité de travail de l’assuré à 50 %, sans donner d’autre explication, étant en outre relevé qu’un emploi d’agent de voyage paraît compatible avec sa description d’une activité adaptée à l’état de santé du recourant. Cela étant, il apparaît que l’intimé a correctement évalué la capacité de travail du recourant, en s’attachant à ne retenir que les éléments médicaux objectifs, lecture qui a en outre été dûment approuvée par un médecin du SMR.</w:t>
      </w:r>
    </w:p>
    <w:p>
      <w:r>
        <w:rPr>
          <w:b/>
        </w:rPr>
        <w:t>E. 5</w:t>
      </w:r>
    </w:p>
    <w:p>
      <w:r>
        <w:t>Le recourant a également critiqué le calcul du degré d’invalidité établi par l’intimée. a) L’art. 25 RAI concrétise les art. 28a al. 1 LAI et 16 LPGA. D’après l’art. 25 al. 1 RAI, est réputé revenu au sens de l’art. 16 LPGA le revenu annuel présumable sur lequel les cotisations seraient perçues en vertu de la LAVS (loi fédérale du 20 décembre 1946 sur l’assurance- vieillesse et survivants ; RS 831.10),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(loi fédérale du 25 septembre 1952 sur les allocations pour perte de gain ; RS 834.1) et des indemnités journalières de l’assurance-invalidité (let. b). Selon l’art. 25 al.</w:t>
      </w:r>
    </w:p>
    <w:p>
      <w:r>
        <w:t>- 15 - 2 RAI, les revenus déterminants au sens de l’art. 16 LPGA sont établis sur la base de la même période et au regard du marché du travail suisse. En vertu de l’art. 25 al. 3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D’après l’art. 25 al. 4 RAI, les valeurs statistiques visées à l’al. 3 sont adaptées au temps de travail usuel au sein de l’entreprise selon la division économique ainsi qu’à l’évolution des salaires nominaux. aa) Le moment déterminant pour établir les revenus avec et sans invalidité est celui de la naissance du droit éventuel à une rente d’invalidité (ATF 134 V 322 consid. 4.1 ; 129 V 222 ; TF 9C_766/2023 du 13 février 2024 consid. 5.1). bb) Selon l’art. 26 al. 4 RAI, si le revenu effectivement réalisé ne peut pas être déterminé ou ne peut pas l’être avec suffisamment de précision, le revenu sans invalidité est déterminé sur la base des valeurs statistiques visées à l’art. 25 al. 3 RAI, c’est-à-dire en principe sur la base de l’ESS, pour une personne ayant la même formation et une situation professionnelle correspondante. D’après l’art. 26bis al. 1 et 2 RAI, on procédera de même pour l’établissement du revenu avec invalidité si, après la survenance de l’invalidité, l’assuré ne réalise pas de revenu déterminant ou réalise un revenu mais qu’il n’exploite pas autant que possible sa capacité fonctionnelle résiduelle en exerçant une activité qui peut raisonnablement être exigée de lui. cc) Pour une personne ne disposant d’aucune formation professionnelle dans une activité adaptée, il convient en principe de se fonder, pour fixer son revenu d’invalide, sur les salaires bruts standardisés (valeur centrale) dans l’économie privée (tableaux TA1_skill_level), tous secteurs confondus (RAMA 2001 n° U 439 p. 347 ; voir également TF 8C_205/2021 du 4 août 2021 consid. 3.2).</w:t>
      </w:r>
    </w:p>
    <w:p>
      <w:r>
        <w:t>- 16 -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citées ; TF 9C_780/2023 du 23 avril 2024 consid. 3.1 ; TF 8C_205/2021 précité consid. 3.2.2 et la référence citée). dd) Selon l’art. 26bis al. 3 RAI (dans sa teneur en vigueur jusqu’au 31 décembre 2023),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w:t>
      </w:r>
    </w:p>
    <w:p>
      <w:r>
        <w:t>- 17 - b) En l’occurrence, l’intimé a établi un calcul reprenant pour les deux termes de la comparaison le revenu que peut obtenir un homme au niveau de compétence 1, tous secteurs confondus, du tableau TA1_skill level de l’ESS 2020, adapté à 2023. Aucun abattement sur le revenu avec invalidité n’ayant été admis, ce calcul aboutissait à un degré d’invalidité nul. Comme déjà exposé ci-dessus (consid. 2b), il est constant que le droit éventuel à la rente pouvait prendre naissance au plus tôt le 1er novembre 2023. C’est donc à juste titre que l’intimé a établi un calcul valable pour 2023. Il convient également de relever qu’à la date de la décision, seuls les chiffres de l’ESS 2020 étaient disponibles, ainsi qu’un taux provisoire de 1,1 % pour la variation annuelle des salaires nominaux pour les hommes. aa) En premier lieu, le recourant a contesté le revenu sans invalidité déterminé par l’intimé, en faisant valoir qu’il ne tenait pas suffisamment compte de sa formation d’agent de voyage. Il fallait en conséquence se référer au revenu applicable au secteur des services (branches 45-96) et au niveau de compétence 2, voire 3, ou encore au revenu médian du groupe 4 de la tabelle T17 (employé.e.s de type administratif). La tabelle T17 de l’ESS présente le salaire mensuel brut moyen par groupes de professions, âge et sexe, en tenant compte à la fois des secteurs privés et publics. En revanche, la tabelle TA1_skill_level concerne le revenu mensuel brut moyen selon les branches économiques, le niveau de compétences et le sexe dans le secteur privé. L’application de la tabelle T17 en lieu et place de la tabelle TA1_skill_level se justifie lorsqu’elle permet de déterminer plus précisément le revenu pour un assuré ayant exercé un emploi dans le secteur public (cf. ATF 148 V 174 consid. 5.6 ; TF 8C_605/2022). En l’occurrence, le recourant s’est formé spécialement dans l’activité d’agent de voyage et a travaillé durant une année dans une agence de voyage après l’obtention de son CFC. Cette profession s’exerce uniquement dans le secteur privé. Ses autres</w:t>
      </w:r>
    </w:p>
    <w:p>
      <w:r>
        <w:t>- 18 - expériences professionnelles sont constituées d’emplois de réinsertion, ce qui ne saurait être assimilé à une expérience dans le secteur public. En conséquence, il n’y a pas lieu de se référer à la tabelle T17 pour déterminer le revenu sans invalidité du recourant. Concernant la rubrique de la tabelle TA1_skill_level applicable au recourant, il convient de relever que ses quelques expériences professionnelles se limitent au secteur des services, de sorte qu’il est admissible de se référer à ce seul secteur. S’agissant par ailleurs du niveau de compétence, il faut rappeler que, depuis la dixième édition de l'Enquête suisse sur la structure des salaires (ESS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requises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les tâches administratives, l'utilisation de machines et d'appareils</w:t>
      </w:r>
    </w:p>
    <w:p>
      <w:r>
        <w:t>- 19 - électroniques, les services de sécurité et la conduite de véhicules (TF 8C_50/2022 du 11 août 2022 consid. 5.1.1 et les références citées). En l’occurrence, le niveau de formation du recourant n’est pas accompagné d’une expérience significative dans une activité d’agent de voyage ou dans un autre domaine des services. En conséquence, le niveau de qualification 3 ne lui est manifestement pas applicable. Ce parcours paraît également insuffisant pour admettre le niveau de qualification 2. Cette question peut cependant rester indécise, compte tenu des développements qui suivent. En effet, selon l’ESS 2020, le revenu moyen au niveau de qualification 2 dans le secteur des services s’élevait à 5'478 fr. pour un homme. Après annualisation, adaptation à la durée moyenne du travail en Suisse dans le secteur des services en 2023 (41,7 heures) et indexation à 2023 (-0,7 % en 2021, 1,1 % en 2022 et 1,1 % en 2023), il en découle un montant de 69'551 fr. 41. Comparé au revenu avec invalidité déterminé par l’intimé – non contesté –, la différence est de 4 % (chiffre arrondi ; cf. ATF 130 V 121 consid. 3.2), ce qui est largement inférieur au taux minimum donnant droit à une rente. bb) Certes, le recourant a encore fait valoir qu’un abattement de 10 % aurait dû être opéré sur les valeurs statistiques appliquées au revenu avec invalidité, en se référant à l’art. 26bis al. 3 RAI. Outre le fait qu’un abattement de 10 % permettrait tout au plus d’augmenter le degré d’invalidité à 14 %, taux qui reste inférieur au minimum donnant droit à des prestations, c’est le lieu de rappeler que l’art. 26bis al. 3 RAI est applicable au recourant selon sa teneur en vigueur jusqu’au 31 décembre 2023 compte tenu de la date de début du droit éventuel à une rente, faute de disposition transitoire prévoyant une application rétroactive. Ainsi, un abattement de 10 % sur le revenu avec invalidité tiré des statistiques n’entre en ligne de compte que lorsque les capacités fonctionnelles ne permettent à l’assuré de travailler qu’à un taux d’occupation de 50 % ou moins. Tel n’est pas le cas du recourant,</w:t>
      </w:r>
    </w:p>
    <w:p>
      <w:r>
        <w:t>- 20 - puisqu’il dispose d’une capacité de travail entière dans une activité adaptée à son état de santé. S’agissant des abattements tirés de la jurisprudence du Tribunal fédéral qui reste applicable à la période antérieure au 1er janvier 2024 (cf. consid. 5a/dd ci-dessus), il s’agit d’examiner la situation personnelle de l’assuré pour déterminer si ses perspectives salariales pourraient être réduites par des facteurs tels que l’âge, le handicap, les années de services, la nationalité, le titre de séjour ou le taux d’occupation. Une évaluation globale des effets de ces circonstances sur le revenu d’invalide est nécessaire et il est admis de procéder à une déduction de 25 % au maximum pour en tenir compte (ATF 146 V 16 consid. 4.1 ; 126 V 75). Cependant, lorsque le revenu sans invalidité et le revenu avec invalidité sont tous deux établis au moyen de l’ESS, il convient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 En l’occurrence, dans la mesure où les deux termes de la comparaison des revenus sont déterminés au moyen des données statistiques, les circonstances étrangères à l’invalidité ne peuvent justifier d’abattement. Par ailleurs, les activités visées par le tableau TA1_skill_level de l’ESS sont généralement compatibles avec des limitations fonctionnelles légères (cf. TF 9C_303/2022 du 31 mai 2023 consid. 6.3 et les références citées ; 9C_444/2010 du 20 décembre 2010 consid. 2.3). Or, les limitations fonctionnelles décrites par les médecins traitants du recourant peuvent être qualifiées de légères, de sorte qu’il n’y a pas matière à réduction de ce point de vue.</w:t>
      </w:r>
    </w:p>
    <w:p>
      <w:r>
        <w:rPr>
          <w:b/>
        </w:rPr>
        <w:t>E. 6</w:t>
      </w:r>
    </w:p>
    <w:p>
      <w:r>
        <w:t>a) En définitive, mal fondé, le recours doit être rejeté et la décision litigieuse confirmée.</w:t>
      </w:r>
    </w:p>
    <w:p>
      <w:r>
        <w:t>- 21 -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 c) Il n’y a pas lieu d’allouer de dépens à la partie recourante, qui n’obtient pas gain de cause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