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ZD24.020292 vom 30. Januar 2025</w:t>
      </w:r>
    </w:p>
    <w:p>
      <w:r>
        <w:t>VD Tribunal cantonal, 2025-01-30, FR</w:t>
      </w:r>
    </w:p>
    <w:p>
      <w:r>
        <w:rPr>
          <w:b/>
        </w:rPr>
        <w:t xml:space="preserve">Quelle: </w:t>
      </w:r>
      <w:r>
        <w:t>https://mcp.opencaselaw.ch/entscheid/vd_gerichte_ZD24.020292</w:t>
      </w:r>
    </w:p>
    <w:p>
      <w:r>
        <w:t>FR: VD_GERICHTE ZD24.020292 du 30 janvier 2025</w:t>
      </w:r>
    </w:p>
    <w:p>
      <w:r>
        <w:t>IT: VD_GERICHTE ZD24.020292 del 30 gennaio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w:t>
      </w:r>
    </w:p>
    <w:p>
      <w:r>
        <w:t>- 12 -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d)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w:t>
      </w:r>
    </w:p>
    <w:p>
      <w:r>
        <w:t>- 13 -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5</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5.1</w:t>
      </w:r>
    </w:p>
    <w:p>
      <w:r>
        <w:t>;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t>- 15 - d)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En particulier, même s’il a été rendu postérieurement à la date déterminante, un rapport médical doit être pris en considération s’il a trait à la situation antérieure à cette date (ATF 99 V 98 consid. 4 ; TF 9C_34/2017 du 20 avril 2017 consid. 5.2).</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w:t>
      </w:r>
    </w:p>
    <w:p>
      <w:r>
        <w:t>- 14 -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7</w:t>
      </w:r>
    </w:p>
    <w:p>
      <w:r>
        <w:t>En l’espèce, l’intimé est entré en matière sur la seconde demande de prestations déposée par le recourant, qu’il a instruite en requérant notamment des avis médicaux auprès des médecins traitants et en soumettant le recourant à une expertise psychiatrique. Il convient dès lors d’examiner si, entre la dernière décision entrée en force du 5 avril 2018 et la décision litigieuse du 11 avril 2024, l’état de santé de l’intéressé s’est modifié de façon à influencer son droit à des prestations de l’assurance-invalidité. a) Par décision du 5 avril 2018, l’OAI a accordé au recourant une rente entière d’invalidité, du 1er octobre 2014 au 31 août 2017. Cette rente a pris fin trois mois (cf. art. 88a RAI) après le refus du recourant de continuer son apprentissage de [...] dans une autre entreprise et sa volonté de s’orienter vers la formation de [...], que l’OAI n’a pas considérée comme suffisante à réduire le préjudice économique. Dans le cadre de l’instruction de la première demande, l’intimé avait recueilli les rapports des Drs T.________ et C.________, qui avaient notamment posé les diagnostics d’asthme bronchique allergique, signes indirects d’inflammation sévère à éosinophiles des voies respiratoires, hypersensibilités aux acariens, pollens d’aulne, noisetier, bouleau, hêtre et</w:t>
      </w:r>
    </w:p>
    <w:p>
      <w:r>
        <w:t>- 16 - chêne, allergie au mélange d’acariens et poussières, à l’épithélium de rat et poils de chien, sinusite chronique, de tabagisme et consommation occasionnelle de THC et d’état dépressif traité (cf. rapports des 29 octobre 2013, 23 avril et 27 mai 2014). Ces deux médecins avaient attesté une capacité de travail nulle dans l’activité habituelle mais entière dans une activité adaptée. b) Le 16 novembre 2020, le recourant a déposé une seconde demande de prestations. S’il n’est pas contesté que le recourant ne peut plus travailler comme [...] en raison de problèmes respiratoires en lien avec les produits utilisés, ce dernier a toutefois indiqué être en totale incapacité de travail depuis le 1er janvier 2019, notamment en raison d’une dépression chronique. L’OAI est entré en matière sur cette demande. Il a recueilli divers avis médicaux avant d’ordonner une expertise psychiatrique auprès du Dr X.________, qui a rendu son rapport le</w:t>
      </w:r>
    </w:p>
    <w:p>
      <w:r>
        <w:rPr>
          <w:b/>
        </w:rPr>
        <w:t>E. 12</w:t>
      </w:r>
    </w:p>
    <w:p>
      <w:r>
        <w:t>septembre 2022 et rapports des 5 avril, 11 octobre 2021 et 30 mars 2023). L’existence d’un trouble dépressif à cette époque est d’ailleurs confirmé par les rapports des Drs T.________ et C.________ des 29 octobre 2013 et 27 mai 2014. Il ne ressort en revanche pas des rapports du Dr L.________ que l’état de santé psychique du recourant se serait fortement dégradé après 2018, à savoir après la première décision de l’intimé du 5 avril 2018. Ensuite, le Dr L.________ a expliqué que les épisodes dépressifs successifs présentés par le recourant tout au long de son parcours de vie l’avaient empêché de mener une vie normale (cf. rapport du 25 novembre 2021). Le recourant a toutefois pu obtenir un CFC en 2005 et travailler jusqu’en 2013 à 100 %. Il a ensuite commencé un apprentissage du 1er août 2015 jusqu’au 17 avril 2017, avant de travailler comme [...] de 2017 à 2019. Il résulte de ce qui précède que l’assuré a pu – malgré ses troubles – occuper de nombreuses années une activité professionnelle. Il a d’ailleurs lui-même indiqué être en incapacité de travail depuis le 1er janvier 2019 dans sa seconde demande de prestations du 16 novembre 2020. Enfin, on constatera que le Dr L.________ a rédigé un rapport le 30 mars 2023, qui n’est en réalité qu’un copié-collé de ses rapports des 5 avril et 11 octobre 2021, et qui ne fait état d’aucun changement dans la situation du recourant. Il en va de même du rapport du Dr L.________ du 3 mai 2024 qui, s’il peut être pris en compte dans la mesure où il a trait à la situation antérieure à la décision litigieuse (cf. consid. 6d supra), ne permet une nouvelle fois pas d’objectiver une</w:t>
      </w:r>
    </w:p>
    <w:p>
      <w:r>
        <w:t>- 19 - péjoration de l’état de santé psychique du recourant. Ainsi, les rapports du Dr L.________ ne permettent pas de remettre en cause le rapport d’expertise du Dr X.________ du 12 septembre 2022. Il en va de même du certificat du Dr L.________ du 31 mars 2023, qui est non motivé. S’agissant enfin du Dr Q.________, outre le fait que ses considérations doivent être prises en compte avec retenue au vu de l’existence d’un lien de confiance et qu’il n’est pas psychiatre, il s’est contenté d’indiquer que la fragilité psychique du recourant, dont l’état psychique s’était dégradé depuis son divorce, l’empêchait de se projeter dans une activité professionnelle (cf. rapports des 4 juin 2021 et 25 avril 2023). On notera enfin que ni le Dr L.________, ni le Dr Q.________, n’ont préconisé la mise en place d’un traitement médicamenteux, ni l’augmentation de la fréquence du suivi psychiatrique, étant rappelé au demeurant que si de telles mesures sont indiquées pour réduire le préjudice économique, elles peuvent raisonnablement être exigées de l’assuré. En définitive, les avis médicaux des médecins traitants ne contiennent aucun élément sérieux qui inciterait à douter des conclusions du rapport d’expertise du Dr X.________ du 12 septembre 2022. cc) Le recourant fait encore valoir qu’il a des problèmes d’épaules qui n’auraient pas été pris en compte par le SMR, ni par l’expert psychiatre. On notera déjà ici que l’expert étant psychiatre, une telle évaluation somatique ne lui appartenait pas. Ensuite, la Dre K.________ a indiqué, dans l’avis SMR du 9 avril 2024, n’avoir aucune information sur la manière dont cette atteinte limiterait la capacité de santé. Elle s’est ainsi bien prononcée sur la problématique des épaules soulevée par le Dr Q.________. A cet égard, on relèvera que le Dr Q.________ ne s’est pas déterminé quant aux limitations fonctionnelles induites par une éventuelle symptomatologie chronique des deux épaules, ni son influence sur la capacité de travail du recourant. Quant au rapport de la Dre Z.________ du</w:t>
      </w:r>
    </w:p>
    <w:p>
      <w:r>
        <w:rPr>
          <w:b/>
        </w:rPr>
        <w:t>E. 13</w:t>
      </w:r>
    </w:p>
    <w:p>
      <w:r>
        <w:t>mai 2024, il ne fait qu’interpréter les résultats des investigations radiographiques sans se prononcer sur leurs conséquences sur la capacité</w:t>
      </w:r>
    </w:p>
    <w:p>
      <w:r>
        <w:t>- 20 - de travail et les limitations fonctionnelles du recourant. C’est ainsi à juste titre que le SMR a retenu que cette atteinte ne limitait pas la capacité de travail du recourant (cf. avis des 9 avril et 23 août 2024). On rappellera à nouveau qu’il est loisible au recourant de déposer une nouvelle demande de prestations auprès de l’intimé si son état de santé somatique devait connaître une péjoration substantielle susceptible d’influer sur ses prestations de l’assurance-invalidité. d) Sur le vu de ce qui précède, force est donc de constater que l’état de santé du recourant ne s’est pas modifié de manière significative depuis la décision du 5 avril 2018. 8. a) En définitive, le recours, mal fondé, doit être rejeté et la décision attaquée confirmée. b) La procédure de recours en matière de contestations portant sur l’octroi ou le refus de prestations de l’assurance-invalidité devant le tribunal cantonal des assurances est soumise à des frais de justice (art. 69 al. 1bis LAI). Il convient de les fixer à 600 fr. et de les mettre à la charge du recourant, vu le sort de ses conclusions.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 VD). c) Il n’y a pas lieu d’allouer de dépens à la partie recourante, qui n’obtient pas gain de cause (art. 61 let. g LPGA). d) La partie recourante est rendue attentive au fait qu’elle devra rembourser les frais provisoirement pris en charge par l’Etat dès qu’elle sera en mesure de le faire (art. 122 al. 1 et 123 CPC [code de procédure civile du 19 décembre 2008 ; RS 272], applicables par renvoi de l’art. 18 al. 5 LPA-VD). Les modalités de ce remboursement sont fixées par</w:t>
      </w:r>
    </w:p>
    <w:p>
      <w:r>
        <w:t>- 21 - la Direction du recouvrement de la Direction générale des affaires institutionnelles et des communes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