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ZD24.020283 vom 2. April 2026</w:t>
      </w:r>
    </w:p>
    <w:p>
      <w:r>
        <w:t>VD Tribunal cantonal, 2026-04-02, FR</w:t>
      </w:r>
    </w:p>
    <w:p>
      <w:r>
        <w:rPr>
          <w:b/>
        </w:rPr>
        <w:t xml:space="preserve">Quelle: </w:t>
      </w:r>
      <w:r>
        <w:t>https://mcp.opencaselaw.ch/entscheid/vd_gerichte_ZD24.020283</w:t>
      </w:r>
    </w:p>
    <w:p>
      <w:r>
        <w:t>FR: VD_GERICHTE ZD24.020283 du 2 avril 2026</w:t>
      </w:r>
    </w:p>
    <w:p>
      <w:r>
        <w:t>IT: VD_GERICHTE ZD24.020283 del 2 aprile 2026</w:t>
      </w:r>
    </w:p>
    <w:p>
      <w:pPr>
        <w:pStyle w:val="Heading2"/>
      </w:pPr>
      <w:r>
        <w:t>Erwägungen</w:t>
      </w:r>
    </w:p>
    <w:p>
      <w:r>
        <w:rPr>
          <w:b/>
        </w:rPr>
        <w:t>E. 8</w:t>
      </w:r>
    </w:p>
    <w:p>
      <w:r>
        <w:t>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le juge unique p r o n o n c e : I. Le recours est rejeté. II. La décision rendue le 4 avril 2024 par l’Office de l’assurance- invalidité pour le canton de Vaud est confirmée. III. Les frais judiciaires, arrêtés à 600 fr. (six cents francs), sont mis à la charge de la recourante. IV. Il n’est pas alloué de dépens. Le juge unique : La greffière : 10J010</w:t>
      </w:r>
    </w:p>
    <w:p>
      <w:r>
        <w:t>- 37 - Du L’arrêt qui précède est notifié à : - Me Jean-Michel Duc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