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ZD24.020001 vom 28. Februar 2025</w:t>
      </w:r>
    </w:p>
    <w:p>
      <w:r>
        <w:t>VD Tribunal cantonal, 2025-02-28, FR</w:t>
      </w:r>
    </w:p>
    <w:p>
      <w:r>
        <w:rPr>
          <w:b/>
        </w:rPr>
        <w:t xml:space="preserve">Quelle: </w:t>
      </w:r>
      <w:r>
        <w:t>https://mcp.opencaselaw.ch/entscheid/vd_gerichte_ZD24.020001</w:t>
      </w:r>
    </w:p>
    <w:p>
      <w:r>
        <w:t>FR: VD_GERICHTE ZD24.020001 du 28 février 2025</w:t>
      </w:r>
    </w:p>
    <w:p>
      <w:r>
        <w:t>IT: VD_GERICHTE ZD24.020001 del 28 febbraio 2025</w:t>
      </w:r>
    </w:p>
    <w:p>
      <w:pPr>
        <w:pStyle w:val="Heading2"/>
      </w:pPr>
      <w:r>
        <w:t>Erwägungen</w:t>
      </w:r>
    </w:p>
    <w:p>
      <w:r>
        <w:rPr>
          <w:b/>
        </w:rPr>
        <w:t>E. 4</w:t>
      </w:r>
    </w:p>
    <w:p>
      <w:r>
        <w:t>a) L’invalidité se définit comme l’incapacité de gain totale ou partielle qui est présumée permanente ou de longue durée et qui résulte</w:t>
      </w:r>
    </w:p>
    <w:p>
      <w:r>
        <w:t>- 15 -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La notion de marché équilibré du travail figurant à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w:t>
      </w:r>
    </w:p>
    <w:p>
      <w:r>
        <w:t>- 16 -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 Dupont/Moser-Szeless [édit.], Loi sur la partie générale des assurances sociales, Commentaire romand, Bâle 2018, n° 24 ad art. 7).</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w:t>
      </w:r>
    </w:p>
    <w:p>
      <w:r>
        <w:t>- 17 -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- 18 - constatations du médecin de l’assurance (ATF 135 V 465 consid. 4.5 et 4.6 et les références citées ; TF 8C_281/2019 du 19 mai 2020 consid. 5.1).</w:t>
      </w:r>
    </w:p>
    <w:p>
      <w:r>
        <w:rPr>
          <w:b/>
        </w:rPr>
        <w:t>E. 6</w:t>
      </w:r>
    </w:p>
    <w:p>
      <w:r>
        <w:t>En l’espèce, l’office intimé a estimé que la recourante conservait une capacité de travail pleine et entière, tant dans le cadre de son activité habituelle que dans le cadre d’une activité adaptée, cela en dépit de ses limitations fonctionnelles constatées sur le plan psychiatrique (« Grande vulnérabilité au stress, peu de capacité d’introspection, difficulté d’apprentissage. Activité adaptée comprenant des tâches routinières en nécessitant pas beaucoup d’apprentissages dans un milieu bienveillant et sans impératif de rendement »), sur le plan pneumologique (« Pas d’effort physique intense ni prolongé. Pas de mouvement répété de la cage thoracique ») ainsi que sur le plan gastroentérologique (« Adaptation alimentaire à la dysphagie »). Il s’est en cela fondé sur l’avis médical du 22 septembre 2023, par lequel le SMR avait estimé qu’il n’y avait pas de raison de s’écarter des conclusions du rapport d’expertise pluridisciplinaire réalisé le 18 septembre 2023.</w:t>
      </w:r>
    </w:p>
    <w:p>
      <w:r>
        <w:rPr>
          <w:b/>
        </w:rPr>
        <w:t>E. 7</w:t>
      </w:r>
    </w:p>
    <w:p>
      <w:r>
        <w:t>a) À bien la comprendre, la recourante conteste cette approche et entend faire valoir que les limitations fonctionnelles mises en exergue par les experts auraient dû conduire ces derniers à retenir qu’elle disposait tout au plus d’une capacité de travail de 50 %. b) La recourante, qui se borne essentiellement à rappeler de manière confuse en quoi consisteraient ses différentes atteintes à la santé et leur caractère selon elle invalidant, s’abstient toutefois d’expliquer les motifs pour lesquels il conviendrait de ne pas reconnaître de valeur probante à l’expertise. Elle ne fait en particulier pas expressément état de rapports médicaux qui entreraient en contradiction avec l’expertise que ce soit sur le plan des diagnostics, des limitations fonctionnelles ou de la capacité de travail retenus, pas plus qu’elle ne mentionne d’autres circonstances qui seraient de nature à mettre en doute le raisonnement</w:t>
      </w:r>
    </w:p>
    <w:p>
      <w:r>
        <w:t>- 19 - des experts, dont le rapport répond entièrement, sur le plan formel, aux réquisits jurisprudentiels. On relèvera à cet égard que, pour poser leurs conclusions, les experts, à savoir les Drs R.________, D.________, U.________, L.________ et N.________ ont eu accès à l’ensemble des pièces versées au dossier de la cause (cf. Annexe 6, p. 47 du rapport d’expertise), parmi lesquelles figuraient en particulier les rapports des médecins traitants et des autres spécialistes qui ont examiné la recourante depuis 2015. Les experts ont chacun examiné l’intéressée et établi un rapport portant sur leur spécialité respective (médecine interne générale [Annexe 1] ; gastroentérologie [Annexe 2], neurologie [Annexe 3], pneumologie [Annexe 4] et psychiatrie [Annexe 5]). Ces cinq rapports comprennent, d’une part, le compte-rendu de l’entretien de l’expert avec la recourante au cours d’un entretien libre puis d’un entretien dirigé ciblé sur les anamnèses familiale, médicale, scolaire, professionnelle, sociale et thérapeutique, incluant une description du déroulement d’une journée type et de l’organisation des loisirs, du ménage et plus largement de la vie quotidienne. D’autre part, les experts ont décrit leurs constatations, leurs diagnostics, leur évaluation médicale et médico-assurantielle et enfin les réponses aux questions soumises par l’intimé. L’évaluation consensuelle propose une synthèse de la situation médicale de la recourante établie après une discussion consensuelle des cinq experts. c) Pour le surplus, les plaintes de la recourante eu égard à son état de santé actuel ne permettent pas de remettre en cause les constats opérés par les experts. aa) Certes, dans son attestation médicale du 18 janvier 2024, la Dre W.________, médecin-psychiatre auprès de laquelle la recourante effectuait un suivi depuis juin 2021, avait exposé, de manière divergente à l’expertise, que l’état de santé psychique de l’intéressée lui conférait une capacité de travail dans un cadre protégé à un taux exigible au maximum à 50 %.</w:t>
      </w:r>
    </w:p>
    <w:p>
      <w:r>
        <w:t>- 20 - Cela étant, la Dre W.________ s’est abstenue de toute explication quant aux motifs qui l’ont conduite à opérer un tel constat, ceci alors qu’elle avait de surcroît posé des diagnostics qui n’avaient pas été retenus par la Dre N.________, experte-psychiatre. On observera en effet que l’experte avait écarté les diagnostics effectués en janvier 2023 par la Dre W.________ (« épisode dépressif moyen [F32.10] » ; « état de stress post-traumatique [F43.1] »), ne retenant en définitive que celui de « modification durable de la personnalité après une expérience de catastrophe » (F62.0) en lien avec le traumatisme qu’avait constitué pour la recourante la vision de son oncle mort le 25 décembre 2006 dans la salle de bain de la maison familiale. Selon l’experte, le diagnostic d’état de stress post-traumatique ne pouvait pas être retenu à l’égard de cet épisode, à défaut pour le trouble constaté chez la recourante à cette suite – se caractérisant par des flashbacks et des cauchemars ainsi que par une anxiété – de constituer une « réponse différée ou prolongée à une situation ou à un événement […] exceptionnellement menaçant qui provoquerait des symptômes évidents de détresse chez la plupart des individus », l’experte citant à cet égard l’exemple du fait d’assister à une mort violente, qui ne pouvait être retenu s’agissant de la recourante. Le diagnostic de dépression avait également été écarté par l’experte dès lors que la recourante ne présentait pas de perte d’élan vital, ni d’anhédonie ou d’aboulie, s’agissant pourtant de critères majeurs pour poser le diagnostic de trouble dépressif (cf. sur ces points : rapport d’expertise, p. 43). On observera par ailleurs qu’aucun médecin ne fait état de « l’anorexie mentale » dont la recourante se prévaut également dans son acte de recours. bb) En tant que la recourante revient sur les incidences des deux opérations du cœur qu’elle avait subies durant sa petite enfance, elle ne présente aucun élément propre à remettre en cause le constat selon lequel ces interventions chirurgicales n’avaient pas provoqué d’autres séquelles que les atteintes fonctionnelles pulmonaires dont le Dr L.________, expert-pneumologue, avait fait état (« Restriction des volumes</w:t>
      </w:r>
    </w:p>
    <w:p>
      <w:r>
        <w:t>- 21 - pulmonaires comme séquelles d’une intervention cardiologique dans la petite enfance » ; « Calcification pulmonaire d’origine indéterminée [séquelle probable de la varicelle] » ; « Douleurs thoraciques pariétales parasternales ») et qui se manifestaient, sur le plan clinique, par une légère dyspnée à l’effort (stade NYHA 1) n’empêchant pas la recourante de marcher une à deux heures par jour. Pour le reste, selon les experts, les différents examens réalisés avaient montré un cœur sain, qui fonctionnait parfaitement bien (cf. rapport d’expertise, p. 14). cc) Dans la mesure où la recourante évoque encore ses importantes carences en fer, dont il n’aurait selon elle pas été tenu compte, on observera que le diagnostic d’anémie ferriprive avait néanmoins été retenu par le Dr D.________, expert-gastroentérologue. Pour autant, selon l’expert, cette atteinte, couplée à celles en lien avec la maladie de reflux gastro-œsophagien qui lui avait également été diagnostiquée (« œsophagite peptique Los Angeles AB 2011-2022, hernie hiatale axiale de 2 cm, dysphagie haute avec incidence sur le poids actuellement compensée »), n’entraînaient pas d’autres limitations fonctionnelles que celles liées à la nécessité du recours à une alimentation liquide, molle ou humidifiée. Or cet aspect ne nécessitait que quelques mesures qui n’avaient pas en soi d’impact sur la vie quotidienne, ni sur une potentielle activité professionnelle, le poids de la recourante (46 kg) étant de surcroît normalisé (cf. rapport d’expertise, p. 21). dd) La recourante ne remet par ailleurs pas en cause les constats effectués par le Dr U.________, expert-neurologue, selon lequel il n’existait pas de limitation fonctionnelle sur le plan neurologique. On observera ainsi que, selon cet expert, les IRM réalisées n’avaient pas mis en lumière de lésions de nature à suggérer la possibilité d’une maladie démyélisante et que, sur le plan de l’anamnèse, il n’existait aucun élément permettant de suspecter une poussée de sclérose en plaques ou une autre maladie neurologique (cf. rapport d’expertise, p. 28). d) Cela étant relevé, à plusieurs reprises en cours d’instruction ainsi qu’en procédure de recours, la recourante s’est surtout prévalu du</w:t>
      </w:r>
    </w:p>
    <w:p>
      <w:r>
        <w:t>- 22 - fait qu’il lui serait de toute façon impossible de trouver un emploi « dans le marché libre du travail », si bien que, selon elle, au vu de son état de santé, seule une activité professionnelle dans un atelier protégé serait envisageable. La recourante soutient ainsi que l’Institution de [...] – où travaille son époux – serait prête à l’intégrer dans l’un de ses ateliers protégés pour autant que le droit à une rente de l’assurance-invalidité lui soit reconnu. aa) Contrairement à ce que laisse entendre la recourante, les experts n’ont nullement suggéré qu’une reprise d’une activité professionnelle devait nécessairement être opérée dans un atelier protégé. Bien au contraire, dans leur évaluation consensuelle, les experts ont mis en exergue les nombreuses ressources dont l’intéressée disposait pour surmonter les désagréments liés à ses limitations fonctionnelles. Selon les experts, l’intéressée n’a ainsi pas de difficulté à s’adapter aux tâches de routine, ni à planifier et à structurer les tâches, ni encore à prendre des décisions. Elle sait aussi se montrer persévérante et a de bons contacts avec son entourage, entretenant de très bonnes relations avec sa famille et ses intimes. La recourante est ainsi en mesure de s’engager dans des projets et dans des activités en groupe, l’intéressée étant en particulier impliquée avec ses amis dans la création de web- séries qu’ils mettent en ligne sur YouTube (cf. rapport d’expertise, p. 5). Ces aspects ne sont pas remis en cause par la recourante, ni par le Dr J.________, son médecin traitant, dont le certificat médical du 19 décembre 2023 se limite à relayer les souhaits de la recourante quant à l’intégration dans une atelier protégé. bb) Si les experts ont certes relevé qu’une activité adaptée aux limitations fonctionnelles qui avaient été constatées sur le plan psychiatrique devait comprendre « des tâches routinières, ne nécessitant pas beaucoup d’apprentissages, dans un milieu bienveillant et sans impératif de rendement », il apparaît que, pour l’experte-psychiatre, cette approche visait avant tout à préserver la recourante de toute pression et</w:t>
      </w:r>
    </w:p>
    <w:p>
      <w:r>
        <w:t>- 23 - de tout stress qui serait de nature à exacerber les symptômes anxieux et la grande fatigabilité présentés par la recourante (cf. rapport d’expertise, p. 43). Dès lors, comme l’a relevé l’intimé dans la décision attaquée, la reprise d’une activité respectant les limitations fonctionnelles de la recourante impliquaient surtout de cibler le contexte de travail et de privilégier par exemple un emploi dans une boutique – et non dans de grandes surfaces commerciales ayant une forte affluence de clients – ou dans la préparation de commandes, notamment dans le domaine de l’horlogerie. Le stress susceptible d’être ressenti par la recourante serait alors contenu s’agissant de postes répétitifs et subalternes, qui n’impliquent que peu de responsabilités et qui ne présupposent qu’une prise d’initiative et un processus d’apprentissage limités (cf. également le rapport final du spécialiste en réinsertion professionnelle de l’intimé du 6 octobre 2023). cc) Dans ce contexte, il n’y a rien d’irréaliste à considérer que la recourante, qui aura 38 ans en mai prochain et qui dispose d’une expérience certaine dans le domaine de la vente et de la distribution, soit en mesure de retrouver un emploi dans une activité adaptée, étant de surcroît observé que, depuis son arrivée en Suisse en 2017, elle n’a jamais été dans une démarche dynamique de recherche d’emploi, de sorte qu’elle ne saurait se rendre crédible en affirmant que ses postulations seraient d’emblée dépourvues de chances de succès. e) En définitive, il faut constater que les limitations fonctionnelles et l’évaluation de la capacité de travail ont été déterminées sur la base des éléments pertinents, en conformité avec la jurisprudence.</w:t>
      </w:r>
    </w:p>
    <w:p>
      <w:r>
        <w:rPr>
          <w:b/>
        </w:rPr>
        <w:t>E. 8</w:t>
      </w:r>
    </w:p>
    <w:p>
      <w:r>
        <w:t>Le rapport d’expertise ne souffrant ainsi d’aucune ambiguïté quant aux constats qui y sont opérés, il n’y a pas lieu d’ordonner de mesures d’instruction complémentaire. En particulier, la production de l’enregistrement sonore de l’expertise, que la recourante a requise dans sa réplique – arguant que, lors des entretiens, les experts se seraient</w:t>
      </w:r>
    </w:p>
    <w:p>
      <w:r>
        <w:t>- 24 - prononcés en faveur d’un placement en atelier protégé –, n’apparaissent pas de nature à apporter un éclairage différent des éléments retenus ci- dessus et peuvent dès lors être écartés par appréciation anticipée des preuves (ATF 145 I 167 consid. 4.1 ; 144 II 427 consid. 3.1.3 ; 140 I 285 consid. 6.3.1).</w:t>
      </w:r>
    </w:p>
    <w:p>
      <w:r>
        <w:rPr>
          <w:b/>
        </w:rPr>
        <w:t>E. 9</w:t>
      </w:r>
    </w:p>
    <w:p>
      <w:r>
        <w:t>La recourante requiert en outre que sa demande de prestations soit examinée sous l’angle d’une éventuelle rente extraordinaire de l’assurance-invalidité au sens de l’art. 39 al. 3 LAI. Cette requête doit être d’emblée écartée ne serait-ce qu’au motif que la recourante est arrivée en Suisse après l’âge de 20 ans et qu’elle ne remplit ainsi pas les conditions posées par les art. 9 al. 3 et 39 al. 3 LAI (cf. ATF 140 V 246 consid. 7.3.2).</w:t>
      </w:r>
    </w:p>
    <w:p>
      <w:r>
        <w:rPr>
          <w:b/>
        </w:rPr>
        <w:t>E. 10</w:t>
      </w:r>
    </w:p>
    <w:p>
      <w:r>
        <w:t>a) En conclusion, le recours, mal fondé, doit être rejeté et la décision litigieuse confirmée. b) La procédure de recours en matière de contestation portant sur l’octroi ou le refus de prestations de l’assurance-invalidité devant le tribunal cantonal des assurances est soumise à des frais de justice (art. 69 al. 1bis LAI). Il convient de les fixer à 600 fr. et de les mettre à la charge de la recourante, vu le sort de ses conclusions. c) Il n’y a par ailleurs pas lieu d’allouer de dépens, la recourante n’obtenant pas gain de cause et n’étant pas représentée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