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ZD24.019992 vom 14. März 2025</w:t>
      </w:r>
    </w:p>
    <w:p>
      <w:r>
        <w:t>VD Tribunal cantonal, 2025-03-14, FR</w:t>
      </w:r>
    </w:p>
    <w:p>
      <w:r>
        <w:rPr>
          <w:b/>
        </w:rPr>
        <w:t xml:space="preserve">Quelle: </w:t>
      </w:r>
      <w:r>
        <w:t>https://mcp.opencaselaw.ch/entscheid/vd_gerichte_ZD24.019992</w:t>
      </w:r>
    </w:p>
    <w:p>
      <w:r>
        <w:t>FR: VD_GERICHTE ZD24.019992 du 14 mars 2025</w:t>
      </w:r>
    </w:p>
    <w:p>
      <w:r>
        <w:t>IT: VD_GERICHTE ZD24.019992 del 14 marzo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w:t>
      </w:r>
    </w:p>
    <w:p>
      <w:r>
        <w:t>- 8 -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 aa) Chez les assurés qui exerçaient une activité lucrative à plein temps avant d'être atteints dans leur santé physique, mentale ou psychique, le revenu que la personne aurait pu obtenir si elle n’était pas atteinte dans sa santé (revenu sans invalidité) est comparé avec celui qu’elle pourrait obtenir en exerçant l’activité qui peut encore raisonnablement être exigée d’elle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w:t>
      </w:r>
    </w:p>
    <w:p>
      <w:r>
        <w:t>- 9 -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w:t>
      </w:r>
    </w:p>
    <w:p>
      <w:r>
        <w:t>- 10 - décision administrative litigieuse, en admettant la reprise hypothétique d'une activité lucrative partielle ou complète, si cette éventualité présente un degré de vraisemblance prépondérante (ATF 144 I 28 consid. 2.3 ; 137 V 334 consid. 3.2 et les références ; TF 9C_250/2021 du 24 mars 2022 consid. 2.2).</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- 11 -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Une évaluation économique sur le ménage effectuée au domicile de la personne assurée (cf. art. 69 al. 2 RAI [dans sa teneur en vigueur au 31 décembre 2021])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t>- 12 - S’agissant de la prise en compte de l’empêchement dans la réalisation des travaux habituels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Même si, compte tenu de sa nature, l’évaluation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w:t>
      </w:r>
    </w:p>
    <w:p>
      <w:r>
        <w:rPr>
          <w:b/>
        </w:rPr>
        <w:t>E. 5</w:t>
      </w:r>
    </w:p>
    <w:p>
      <w:r>
        <w:t>a) En l’espèce, l’intimé a considéré que la recourante, dans l’hypothèse où elle n’était pas atteinte dans sa santé, aurait exercé son activité lucrative à un taux de 40 % et consacré le reste de son temps à l’accomplissement de ses travaux habituels (statut mixte). La recourante a, elle, soutenu qu’elle aurait travaillé à un taux de 60 % si elle s’était maintenue en bonne santé. b) Cela étant, on ne saurait suivre la position de la recourante. Il ressort en effet du dossier, en particulier du rapport du 20 juin 2020 du Dr V.________, du rapport du 22 novembre 2022 du centre d'expertises</w:t>
      </w:r>
    </w:p>
    <w:p>
      <w:r>
        <w:t>- 13 - L.________ et du rapport du 20 juillet 2023 de l’évaluatrice à domicile, que c’est principalement pour des raisons de convenances personnelles et de proximité que celle-ci a accepté un poste à un taux de 40 % auprès de la société Z.________ SA dès le 1er mai 2015. Certes, la recourante présentait déjà, à cette époque-là, une fatigue permanente. On ne saurait toutefois déduire de cette constatation qu’elle souffrait de dépression et que la symptomatologie impactait négativement ses capacités. Le bref suivi psychiatrique opéré en 2014 n’a en effet pas abouti à la pose d’un tel diagnostic ni à la reconnaissance d’une quelconque incapacité de travail. Qui plus est, l’augmentation temporaire du taux d’activité à 50 % entre les mois de juin 2018 et de février 2019 a été consentie par la recourante (outre dans le but d’aider son ancien employeur) parce que son époux n’occupait, à ce moment-là, pas encore de poste fixe. Celui-ci en ayant trouvé un dans l’intervalle, il n’était plus nécessaire sur le plan financier qu’elle continuât d’être employée à ce taux. On ne saurait enfin inférer du simple fait que la recourante ait travaillé à des taux variant entre 50 % et 60 % dans ses précédentes activités auprès de [...] et de [...] que, sans atteinte à la santé, elle aurait exercé son activité lucrative à un taux de 60 %. Il en est de même de ses propos formulés en avril 2020 dans le questionnaire de détermination du statut, selon lesquels elle aurait « aimé travailler à 60 % dès janvier 2020 pour des raisons financières ». Dans ces conditions, il sied donc de confirmer le statut retenu par l’intimé, soit une part de 40 % consacrée à l’exercice d’une activité lucrative et une part de 60 % dévolue à l’accomplissement des travaux habituels.</w:t>
      </w:r>
    </w:p>
    <w:p>
      <w:r>
        <w:rPr>
          <w:b/>
        </w:rPr>
        <w:t>E. 6</w:t>
      </w:r>
    </w:p>
    <w:p>
      <w:r>
        <w:t>a) Afin d’évaluer les empêchements de la recourante dans l’exercice d’une activité lucrative, l’intimé s’est essentiellement fondé sur le rapport d’expertise du 22 novembre 2022 du centre d'expertises L.________ et sur son complément du 31 janvier 2023. Il ressort de ces documents que cette dernière souffrait notamment – au titre de diagnostics incapacitants – d’un épisode dépressif moyen (CIM-10 F32), sans syndrome somatique (depuis 2019), de phobies sociales (CIM-10 F40.1) et d’une accentuation de traits de personnalité anxieuse (CIM-10 Z73.1) et – au titre de diagnostics non incapacitants – d’une somatisation (CIM-10 F45.0), d’un syndrome du côlon irritable mixte (CIM-10 K58.3), de</w:t>
      </w:r>
    </w:p>
    <w:p>
      <w:r>
        <w:t>- 14 - cholécystolithiase sans cholécystite (CIM-10 K80.2) et de polyarthralgies diffuses non dégénératives et non inflammatoires (CIM-10 M25.5) entrant dans le cadre d’une somatisation (CIM-10 F45.0). Elle a présenté – pour des motifs psychiatriques – une capacité de travail nulle du 29 octobre 2019 au 19 juin 2020, de 20 % jusqu’au 30 septembre 2022, puis de 25 % dès le 1er octobre 2022 dans une activité devant tenir compte d’une diminution de rendement en raison de la fatigue et de la fatigabilité, d’un manque de confiance en soi (avec un besoin de réassurance et une diminution d’initiative), de difficultés à prendre des décisions et d’une sensibilité au stress (avec une tendance à l’anxiété en présence de tâches simultanées ou demandant un rendement élevé), tout en privilégiant des tâches prévisibles avec un cahier de charge clair (du fait d’un manque de flexibilité psychique) et en évitant les confrontations interpersonnelles (surtout en groupe). b) Cela étant, rien ne permet de remettre en doute les conclusions des experts du centre d'expertises L.________. Ces derniers ont en effet procédé à une appréciation circonstanciée des points litigieux. La Dre R.________ a, d’une part, motivé les raisons pour lesquelles seul un épisode dépressif d’intensité moyenne pouvait être retenu. D’autre part, elle a exclu – à l’instar du Dr V.________ – le diagnostic de syndrome de fatigue chronique, dès lors qu’il ne s’agissait pas d’une entité décrite dans la CIM-10, tout en ajoutant que, en raison de la présence de symptômes dépressifs prolongés, le diagnostic de neurasthénie devait pour l’instant être écarté. Les experts ont en outre procédé à des examens physiques (notamment neurologiques et ostéoarticulaires) et psychiques complets. Les plaintes de la recourante en lien avec une anxiété, un manque de confiance en soi, des difficultés à s’exprimer devant autrui, des troubles du sommeil, une fatigabilité et des douleurs musculaires et articulaires ont également été prises en considération dans l’analyse. Le rapport d’expertise a, au demeurant, été établi en pleine connaissance des pièces versées au dossier, dont les multiples rapports de la Dre B.________ et le rapport d’expertise du 20 juin 2020 du Dr V.________. Pour finir, les experts ont décrit et apprécié la situation médicale de manière claire et ont motivé à satisfaction leurs conclusions.</w:t>
      </w:r>
    </w:p>
    <w:p>
      <w:r>
        <w:t>- 15 - c) Sur ce dernier point, la Dre R.________ a – conformément aux exigences jurisprudentielles en matière de troubles psychosomatiques et psychiques (cf. supra consid. 4c) – posé les différents diagnostics selon les règles de l’art et n’a pas relevé de motif d’exclusion. Elle a également procédé à une analyse complète des indicateurs de l’ATF 141 V 281. Dans ce cadre, elle s’est prononcée sur le degré de gravité de l’épisode dépressif, en qualifiant ce trouble de moyen. S’agissant des comorbidités, elle a expliqué que ces dernières interféraient dans la reprise – progressive – des activités. Par ailleurs, selon elle, les traitements médicaux étaient adaptés. Le pronostic restait favorable en raison de la bonne réponse auxdits traitements depuis deux mois. L’experte psychiatre a de surcroît fait état de l’existence de ressources mobilisables, la recourante pouvant compter sur le soutien de son époux, de sa famille, de ses amies et de la communauté religieuse à laquelle elle appartenait. Sa personnalité était en revanche altérée du fait de ses atteintes, avec un manque de confiance en soi, des difficultés à développer des contacts avec les autres et de légères limitations quant aux capacités de prises de décisions et de jugement ainsi que de planification et de structuration des tâches. Enfin, la Dre R.________ a jugé le comportement de la recourante comme cohérent, avec une limitation uniforme du niveau des activités et une bonne compliance à la médication. d) Dès lors, sur le vu de ce qui précède, il convient de reconnaître une pleine valeur probante au rapport d’expertise du centre d'expertises L.________ (et à son complément) et de retenir une capacité de travail de nulle entre le 29 octobre 2019 et le 19 juin 2020, de 20 % jusqu’à la fin du mois de septembre 2022 et de 25 % à partir du 1er octobre 2022 dans une activité adaptée aux limitations fonctionnelles d’ordre psychique, c’est-à-dire une activité en atelier protégé. A cet égard, on ne saurait donner raison à la recourante lorsqu’elle soutient que les conclusions des experts ne sont pas le fruit d’une discussion commune, dans la mesure où il ressort expressément de leur rapport qu’une évaluation consensuelle a bien eu lieu. De plus, les quelques inexactitudes et contradictions relevées par la recourante, notamment celles liées à son</w:t>
      </w:r>
    </w:p>
    <w:p>
      <w:r>
        <w:t>- 16 - âge et aux diagnostics de syndrome d’Ehlers Danlos – finalement exclu (cf. rapport du 15 juillet 2021 de la Dre [...]) – et de syndrome douloureux somatoforme persistant, ne sont, à elles seules, pas susceptibles de remettre en cause la validité de l’expertise, étant donné que ces éléments ne sont pas à l’origine des incapacités de travail attestées. On comprend au demeurant aisément, à la lecture du rapport, que la « date d’amélioration subjective », à laquelle se réfère la Dre R.________ afin de motiver le léger rétablissement de la capacité de travail en octobre 2022, dépend du moment à partir duquel la recourante « a ressenti une amélioration progressive » de la situation, soit à la suite du changement de médication et la prescription du Venlafaxine. Enfin, le fait que ses limitations ne permettent pas à la recourante de prétendre à l’exercice d’une activité professionnelle dans l’économie première n’empêche en revanche pas de lui reconnaître une capacité de travail résiduelle dans un emploi en atelier protégé, le degré d’invalidité étant, dans ce cas de figure, calculé à l’aune du salaire pouvant être réalisé dans ce secteur particulier (cf. Kaspar Gerber, Bundesgesetz über die Invalidenversicherung, Die Renten [Art. 28-41], Berne 2022, n° 188 ad art. 28a LAI). e) Dans la mesure où la recourante a présenté une capacité de travail fluctuante dans le temps, il reste encore à évaluer son degré d’invalidité pour la part dévolue à l’exercice d’une activité lucrative, en procédant à une comparaison des revenus avec et sans invalidité (cf. supra consid. 3c/aa). Ainsi, pour la période du 1er octobre 2020 (à savoir la date d’échéance du délai d’attente d’une année de l’art. 28 al. 1 let. b LAI [cf. supra consid. 3b]) au 30 septembre 2022, au cours de laquelle la recourante disposait d’une capacité de travail de 20 % dans une activité en atelier protégé, son taux d’invalidité s’élevait à 96,9 %, compte tenu d’un revenu sans invalidité – extrapolé à 100 % (cf. supra consid. 3c/cc) – de 67'708 fr. 35 en 2020 (cf. rapport de la société Z.________ SA du 21 avril 2020) et d’un revenu avec invalidité de 2'100 fr., calculé sur la base d’un salaire annuel en 2020 de 10'500 fr. (cf. avis du 21 avril 2023 du service de réadaptation de l’intimé ; 10'500 fr. x 20 %). Pour la période courant dès le 1er octobre 2022, durant laquelle la capacité de travail dans cette</w:t>
      </w:r>
    </w:p>
    <w:p>
      <w:r>
        <w:t>- 17 - activité adaptée a augmenté à 25 %, le taux d’invalidité était de 96,12 %, eu égard à un revenu avec invalidité de 2'625 fr. (10'500 fr. x 25 %).</w:t>
      </w:r>
    </w:p>
    <w:p>
      <w:r>
        <w:rPr>
          <w:b/>
        </w:rPr>
        <w:t>E. 7</w:t>
      </w:r>
    </w:p>
    <w:p>
      <w:r>
        <w:t>a) Pour mesurer la capacité de la recourante dans l’accomplissement de ses travaux habituels, l’intimé s’est principalement appuyé sur le rapport du 20 juillet 2023 et le complément du 17 janvier 2024 de l’évaluatrice à domicile. Il ressort de ces document que, jusqu’à la fin de l’année 2022 au plus tard, la recourante était entravée, en raison de ses atteintes à la santé, dans la confection des repas et le nettoyage de la cuisine, l’entretien de l’appartement, les achats et les courses diverses, le repassage, le pliage et le rangement des vêtements, ainsi que les soins apportés aux autres membres de la famille (en l’occurrence, sa nièce). L’aide de son époux était néanmoins exigible pour l’accomplissement de ces tâches. Il s’ensuivait que l’empêchement dans l’accomplissement des travaux habituels s’élevait à 3,1 % au total. b) Aussi, contrairement à ce que soutient la recourante, il apparaît que l’enquêtrice a bien pris en considération, lors de l'évaluation de l’invalidité dans la sphère des travaux habituels, la situation médicale et les limitations fonctionnelles arrêtées par les experts du centre d'expertises L.________, spécifiquement son manque d’initiative et sa fatigue. On ne saurait par ailleurs lui faire grief d’avoir tenu compte de l’aide exigible de l’époux – laquelle a été quantifiée à 40 % environ – dans une mesure déraisonnable, dès lors que, d’une part, ce dernier travaillait à cette époque à temps partiel et participait déjà aux tâches liées à l’alimentation, à l’entretien du logement et à l’entretien des vêtements et que, d’autre part, le couple n’a pas d’enfant (cf. TF 8C_373/2008 du 28 août 2008 consid. 3.2.2). A noter également que l’évaluation de l’incapacité à accomplir les travaux habituels réalisée par les experts du centre d'expertises L.________ – de 30 % – ne prend pas en compte cette aide exigible. Le taux d’empêchement que l’évaluatrice a retenu avant d’inclure une telle assistance – en l’espèce 43,3 % – est, quant à lui, supérieur à cette évaluation. L’appréciation des experts du centre d'expertises L.________ relative aux restrictions de la recourante dans ses travaux habituels ne se révèle donc pas susceptible de remettre en doute</w:t>
      </w:r>
    </w:p>
    <w:p>
      <w:r>
        <w:t>- 18 - les conclusions de l’enquêtrice. Il convient au surplus de rappeler que, contrairement à ce que prétend la recourante, la jurisprudence ne pose pas de grandeur limite au-delà de laquelle l’aide des membres de la famille ne serait plus exigible (cf. TF 9C_248/2022 du 25 avril 2023 consid. 5.3.1 et les références). Pour le reste, l’évaluatrice à domicile a porté attention aux déclarations de la recourante dans son rapport, lequel apparaît plausible, motivé et rédigé de façon suffisamment détaillée. Partant, il convient de reconnaître une pleine valeur probante à ce dernier et de retenir un taux d’empêchement de 3,1 % jusqu’au 31 décembre 2022.</w:t>
      </w:r>
    </w:p>
    <w:p>
      <w:r>
        <w:rPr>
          <w:b/>
        </w:rPr>
        <w:t>E. 8</w:t>
      </w:r>
    </w:p>
    <w:p>
      <w:r>
        <w:t>a) Il s’agit enfin d’évaluer le taux d’invalidité global de la recourante – lequel a varié selon les périodes – en application de la méthode mixte (cf. supra consid. 3c/cc), dans le but de déterminer l’étendue du droit à la rente. b) Pour la période du 1er octobre 2020 au 30 septembre 2022, le taux d’invalidité global – arrondi – est de 41 %, compte tenu d’un degré d’invalidité de 96,9 % pour la part active et de 3,1 % pour la part consacrée à l’accomplissement des travaux habituels ([96,9 % x 40 %] + [3,1 % x 60 %]). Ce taux n’a que très légèrement diminué au cours de la période allant du 1er octobre au 31 décembre 2022, pour atteindre 40 % ([96,12 % x 40 %] + [3,1 % x 60 %]). Il s’ensuit que le droit à un quart de rente est en tout état de cause ouvert en faveur de la recourante jusqu’au 31 mars 2023, soit trois mois après l’amélioration de sa capacité à accomplir ses travaux habituels (cf. art. 88a al. 1 RAI). c) Pour la période dès le 1er avril 2023, le taux d’invalidité globale – arrondi – se monte à 38 % ([96,12 % x 40 %] + [0 % x 60 %]). Toutefois, étant donné que ce taux n’a pas subi de modification notable au sens de l’art. 17 al. 1 LPGA (dans sa teneur en vigueur au 31 décembre 2021), le droit à un quart de rente demeure inchangé.</w:t>
      </w:r>
    </w:p>
    <w:p>
      <w:r>
        <w:t>- 19 - d) En conséquence, c’est à bon droit que l’intimé a reconnu à la recourante le droit à un quart de rente d’invalidité à partir du 1er octobre 2020.</w:t>
      </w:r>
    </w:p>
    <w:p>
      <w:r>
        <w:rPr>
          <w:b/>
        </w:rPr>
        <w:t>E. 9</w:t>
      </w:r>
    </w:p>
    <w:p>
      <w:r>
        <w:t>Le dossier est pour le surplus complet et permet à la Cour de céans de statuer en pleine connaissance de cause. Il n’y a donc pas lieu de compléter l’instruction, comme le requiert la recourante,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w:t>
      </w:r>
    </w:p>
    <w:p>
      <w:r>
        <w:rPr>
          <w:b/>
        </w:rPr>
        <w:t>E. 10</w:t>
      </w:r>
    </w:p>
    <w:p>
      <w:r>
        <w:t>a) En définitive, le recours, mal fondé, doit être rejeté et les décisions rendues les 26 mars et 21 mai 2024 par l'intimé confirmées.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