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ZD24.019252 vom 9. September 2025</w:t>
      </w:r>
    </w:p>
    <w:p>
      <w:r>
        <w:t>VD Tribunal cantonal, 2025-09-09, FR</w:t>
      </w:r>
    </w:p>
    <w:p>
      <w:r>
        <w:rPr>
          <w:b/>
        </w:rPr>
        <w:t xml:space="preserve">Quelle: </w:t>
      </w:r>
      <w:r>
        <w:t>https://mcp.opencaselaw.ch/entscheid/vd_gerichte_ZD24.019252</w:t>
      </w:r>
    </w:p>
    <w:p>
      <w:r>
        <w:t>FR: VD_GERICHTE ZD24.019252 du 9 septembre 2025</w:t>
      </w:r>
    </w:p>
    <w:p>
      <w:r>
        <w:t>IT: VD_GERICHTE ZD24.019252 del 9 settembre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w:t>
      </w:r>
    </w:p>
    <w:p>
      <w:r>
        <w:t>- 11 -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w:t>
      </w:r>
    </w:p>
    <w:p>
      <w:r>
        <w:t>- 12 - Enfin, des quotités spécifiques de rente sont prévues lorsque le taux d’invalidité est inférieur à 50 %. c) Pour évaluer le degré d'invalidité, il existe principalement trois méthodes – la méthode générale de comparaison des revenus, la méthode spécifique et la méthode mixte – dont l'application dépend du statut du bénéficiaire potentiel de la rente,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24septies RAI).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d)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e) Lorsque la rente a été refusée parce que le degré d’invalidité était insuffisant, la nouvelle demande ne peut être examinée</w:t>
      </w:r>
    </w:p>
    <w:p>
      <w:r>
        <w:t>- 13 -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w:t>
      </w:r>
    </w:p>
    <w:p>
      <w:r>
        <w:t>- 14 -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Fondés sur les art. 54a LAI et 49 al. 1 et 3 RAI, les avis médicaux du SMR se distinguent des expertises ou des examens médicaux auxquels ce service peut également procéder (art. 49 al. 2 RAI).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9C_647/2020 du 26 août 2021 consid. 4.2 ; TF 9C_10/2017 du 27 mars 2017 consid. 5. 1 et les références).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- 15 - constatations du médecin de l’assurance (ATF 135 V 465 consid. 4.5 et 4.6 et les références ; TF 8C_757/2023 du 20 décembre 2024 consid. 7 ; TF 8C_220/2024 du 4 octobre 2024 consid. 3.2). 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w:t>
      </w:r>
    </w:p>
    <w:p>
      <w:r>
        <w:rPr>
          <w:b/>
        </w:rPr>
        <w:t>E. 5</w:t>
      </w:r>
    </w:p>
    <w:p>
      <w:r>
        <w:t>a) En l’espèce, une première demande de prestations déposée par la recourante en décembre 2018 a abouti au constat, dans une décision de l’intimée du 12 novembre 2020, que l’état de santé psychique de la recourante avait entraîné une incapacité de travail totale de janvier 2018 à novembre 2019, ce qui avait ouvert le droit à une rente entière d’invalidité. La reprise du travail au taux contractuel dans le courant du mois de décembre 2019 avait ensuite mis fin au droit à la rente à compter du 1er mars 2020. Cette décision se fondait principalement sur deux rapports établis en août et novembre 2019, respectivement par un psychiatre mandaté par l’employeur et par le psychiatre traitant. Les deux spécialistes retenaient les diagnostics de trouble dépressif récurrent et de perturbation de l’activité et l’attention (également désigné sous l’acronyme TDAH).</w:t>
      </w:r>
    </w:p>
    <w:p>
      <w:r>
        <w:t>- 16 - La seconde demande, objet de la présente procédure, a été déposée en janvier 2022, soit moins de deux ans après la décision précitée. Il en ressort que l’intéressée a interrompu une nouvelle fois son activité professionnelle en raison de son état de santé psychique en juillet 2021. L’intimé est entré en matière après avoir reçu les rapports de la médecin-conseil de l’employeur des 16 décembre 2021 et 5 avril 2022, ainsi qu’un rapport du psychiatre traitant établi le 5 avril 2022. Des mesures d’orientation professionnelle ont été mises en œuvre, mais ont été interrompues dès lors que l’intéressée déclarait ne pas pouvoir réintégrer le premier marché de l’emploi. L’intimé a alors réinterrogé le psychiatre traitant. Celui-ci a confirmé, le 5 mai 2023, l’existence d’une capacité de travail entière dans une activité adaptée. Se fondant sur l’avis du SMR, qui s’est rallié aux rapports précités dans son avis du 8 juin 2023, l’intimé a retenu que la recourante présentait une incapacité de travail totale dans l’activité habituelle d’intervenante [...], mais complète dans une activité adaptée aux limitations fonctionnelles décrites par la médecin-conseil et le psychiatre traitant. b) Quand bien même la recourante travaillait à temps partiel au moment du dépôt de sa demande et a mentionné dans le formulaire de détermination du statut rempli le 5 septembre 2022 qu’elle continuerait à travailler à 80 % en bonne santé pour consacrer le temps restant aux tâches ménagères et éducatives, l’intimé a retenu un statut d’active à 100 % au terme d’une évaluation économique sur le ménage réalisée le</w:t>
      </w:r>
    </w:p>
    <w:p>
      <w:r>
        <w:rPr>
          <w:b/>
        </w:rPr>
        <w:t>E. 10</w:t>
      </w:r>
    </w:p>
    <w:p>
      <w:r>
        <w:t>novembre 2023. La recourante n’a pas émis de grief à l’encontre des résultats de cette enquête, qui peuvent être suivis dès lors que les conclusions de l’enquêtrice sont étayées et convaincantes. c) Dans ses objections au projet de décision comme dans son recours, la recourante a fait valoir qu’elle n’était pas en mesure de reprendre une quelconque activité professionnelle, en raison d’importantes angoisses face aux contraintes hiérarchiques et aux relations interpersonnelles avec des collègues de travail.</w:t>
      </w:r>
    </w:p>
    <w:p>
      <w:r>
        <w:t>- 17 - La recourante avait déjà fait part de ces éléments à l’issue du bilan d’orientation en mars 2023 et dans le contexte du processus de reclassement initié par son employeur, puis au cours de l’enquête à domicile le 10 novembre 2023. Ce n’est toutefois qu’au stade du recours que l’intéressée a fourni une attestation du Prof. N.________ du 30 avril 2024, dans lequel ce spécialiste a émis des doutes quant à l’adéquation de l’activité adaptée décrite dans ses rapports précédents et préconisé une réévaluation de la capacité de travail de sa patiente. Ce revirement du spécialiste traitant ne convainc pas. Vraisemblablement établie pour les besoins de la cause, l’attestation du 30 avril 2024 tend en effet à remettre en question une appréciation pourtant confirmée à deux reprises en cours de procédure, y compris après l’échec des mesures mises en place par l’intimé. Or le Prof. N.________ n'a aucunement développé les motifs d’ordre strictement médical qui l’amenaient à changer d’avis sur la capacité de travail de sa patiente en avril 2024, se limitant à suggérer de procéder à une nouvelle analyse. Au contraire, il a indiqué que la recourante « rest[ait] très fragile et sensible au stress », ce qui signifie que l’état de santé n’a pas connu d’évolution particulière depuis son précédent rapport. A cela s’ajoute que le médecin ne s’est pas même montré affirmatif, utilisant les termes « ne semble pas pouvoir » et « dans la mesure du possible ». Aucune valeur probante ne peut en conséquence être attribuée à cette attestation. d) La recourante a également produit une demande de prise en charge dans un programme de psychothérapie [...], dont le Prof. N.________ a rempli la partie réservée au thérapeute le 18 mars 2024. Les diagnostics retenus sont le TDAH (perturbation de l’activité et l’attention, F90.0) et un trouble dépressif récurrent, épisode actuel moyen (F33.1), tandis que le status est décrit comme suit : « Thymie triste avec des sentiments de désespoir et de culpabilisation et une dévalorisation. On notera par ailleurs des difficultés attentionnelles accompagnés de difficultés d'organisation et de planification des tâches. Présente d'importants troubles du sommeil, une forte anxiété avec une rumination constante, n'arrive pas à se détendre et est constamment sur le qui-vive. »</w:t>
      </w:r>
    </w:p>
    <w:p>
      <w:r>
        <w:t>- 18 - Ces éléments sont largement superposables au status décrit par ce même spécialiste dans son rapport du 5 mai 2023. Retenant déjà les diagnostics de TDAH et de trouble dépressif récurrent avec un épisode actuel moyen, il avait exposé que la situation n’avait pas évolué depuis son précédent rapport, établi en avril 2022, évoquant une chronicisation, et avait mentionné un status marqué « plus particulièrement » par une thymie triste avec des sentiments de désespoir, de culpabilisation et de dévalorisation, ainsi que par les difficultés d’organisation et de planification propres au TDAH. Les quelques informations médicales fournies par le psychiatre traitant dans le formulaire du 18 mars 2024 ne sont en conséquence pas de nature à remettre sérieusement en doute les éléments médicaux sur lesquels se fonde la décision litigieuse. e) Enfin, la recourante s’est prévalue du rapport de synthèse établi le 16 mars 2023 par le prestataire de la mesure d’orientation professionnelle organisée par l’intimé, ainsi que du rapport établi par la psychologue en charge du processus de reclassement à l’interne de l’ancien employeur de l’assurée. Il ressort principalement de ces pièces que les rapports de l’intéressée avec l’autorité sont difficiles et qu’elle peine à se projeter dans une nouvelle activité professionnelle dans le contexte d’une mesure contraignante. Ces constats, qui relaient principalement les déclarations de la recourante, ne permettent toutefois pas de conclure qu’elle n’est pas apte, pour des raisons médicales objectives, à reprendre une activité adaptée à son état de santé, dans un processus volontaire de recherches d’emploi. Or, ni le Prof. N.________, qui la suit depuis 2013, ni la Dre H.________, qui l’a vue régulièrement entre 2018 et 2022, n’ont signalé de limitation fonctionnelle de cette nature. f) En définitive, l’intimé était fondé à retenir une capacité de travail nulle dans l’activité habituelle depuis le 5 juillet 2021, mais complète dans une activité adaptée aux limitations fonctionnelles décrites par le Prof. N.________ et la Dre H.________.</w:t>
      </w:r>
    </w:p>
    <w:p>
      <w:r>
        <w:t>- 19 - 6. a) L’intimé a fixé le degré d’invalidité à 58 % dès le 1er septembre 2022 en exposant avoir procédé à une comparaison des revenus avec et sans invalidité. La recourante n’a émis aucune critique à l’encontre du calcul décrit dans la décision. En réalité, l’intimé a procédé à deux calculs, l’un portant sur le droit à la rente au 1er septembre 2022, aboutissant à un préjudice économique de 53,16 %, et l’autre valable dès le 1er janvier 2024 en lien avec une modification du RAI entrée en vigueur à cette dernière date, montrant un préjudice économique de 57,85 %. Toutefois, dans sa décision, il a appliqué uniquement le résultat du second calcul et a octroyé une rente correspondant à 58 % d’une rente entière dès le 1er septembre 2022. b) Dans ses deux calculs, l’intimé a déterminé le revenu sans invalidité sur la base du salaire que la recourante percevait dans son dernier emploi, adapté à un taux d’activité de 100 % et indexé à 2022 puis 2024. Pour le revenu avec invalidité, il s’est fondé sur le tableau TA1_skill_level, tous secteurs confondus, niveau de compétence 1 pour une femme, de l’Enquête suisse sur la structure des salaires (ESS) de l’Office fédéral de la statistique, version 2022, sans abattement pour le calcul correspondant à l’année 2022, respectivement avec un abattement de 10 % pour 2024. Il convient de constater que les deux calculs sont conformes aux dispositions légales et jurisprudentielles applicables (cf. art. 28a al. 1 LAI, 25ss RAI ; ATF 150 V 410 consid. 9 et 10 ; lettre circulaire AI n° 445 du 26 août 2024 de l’Office fédéral des assurances sociales). Le second calcul prend en compte la nouvelle teneur de l’art. 26bis al. 3 RAI applicable dès le 1er janvier 2024, conformément au chiffre II des dispositions transitoires relatives à la modification du RAI du 18 octobre 2023. Il en découlait une augmentation du degré d’invalidité de 5 %, ce qui justifiait une révision du droit à la rente dès le 1er janvier 2024 (art. 17 al. 1 let. a LPGA).</w:t>
      </w:r>
    </w:p>
    <w:p>
      <w:r>
        <w:t>- 20 - En conséquence, il faut constater que le degré d’invalidité s’est élevé à 53 % du 1er septembre 2022 au 31 décembre 2023, puis à 58 % dès le 1er janvier 2024 (chiffres arrondis ; cf. ATF 130 V 121 consid. 3.2). c) Ce constat aboutit à un résultat qui est moins favorable pour la recourante, dans la mesure où l'octroi par l'office intimé d'une rente s’élevant à 58 % d’une rente entière d’invalidité pour la période du 1er septembre 2022 au 31 décembre 2023 s'avère erroné. Il conviendrait en principe, conformément à l’art. 61 let. d LPGA, de réformer la décision litigieuse au détriment de l’intéressée. Cependant, si la loi permet au tribunal de procéder à une reformatio in pejus, il ne s'agit en réalité que d'une simple possibilité. Le tribunal n'opte pour une telle modification qu'avec retenue, en particulier si des questions d'opportunité ou d'appréciation sont en jeu (cf. Jean Métral, in Dupont/Moser-Szeless [édit.], Commentaire romand de la loi sur la partie générale des assurances sociales, Bâle 2018, n. 77 ad art. 61 LPGA). Compte tenu des circonstances de la présente affaire et notamment des montants en jeu, la reformatio in pejus n'apparaît pas opportune dans le cas particulier. Partant, il y est renoncé. d) On relèvera encore que, même si le taux d’invalidité de la recourante atteint le seuil de 20 % qui ouvre le droit à un reclassement professionnel (art. 17 al. 1 LAI ; ATF 139 V 399 consid. 5.3), une telle mesure n’entre toutefois pas en ligne de compte en l’espèce, compte tenu notamment de l’échec de la mesure mise en place durant l’instruction de la demande. 7. a) En conclusion,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w:t>
      </w:r>
    </w:p>
    <w:p>
      <w:r>
        <w:t>- 21 -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