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ZD24.018805 vom 16. Oktober 2025</w:t>
      </w:r>
    </w:p>
    <w:p>
      <w:r>
        <w:t>VD Tribunal cantonal, 2025-10-16, FR</w:t>
      </w:r>
    </w:p>
    <w:p>
      <w:r>
        <w:rPr>
          <w:b/>
        </w:rPr>
        <w:t xml:space="preserve">Quelle: </w:t>
      </w:r>
      <w:r>
        <w:t>https://mcp.opencaselaw.ch/entscheid/vd_gerichte_ZD24.018805</w:t>
      </w:r>
    </w:p>
    <w:p>
      <w:r>
        <w:t>FR: VD_GERICHTE ZD24.018805 du 16 octobre 2025</w:t>
      </w:r>
    </w:p>
    <w:p>
      <w:r>
        <w:t>IT: VD_GERICHTE ZD24.018805 del 16 ottobre 2025</w:t>
      </w:r>
    </w:p>
    <w:p>
      <w:pPr>
        <w:pStyle w:val="Heading2"/>
      </w:pPr>
      <w:r>
        <w:t>Erwägungen</w:t>
      </w:r>
    </w:p>
    <w:p>
      <w:r>
        <w:rPr>
          <w:b/>
        </w:rPr>
        <w:t>E. 3</w:t>
      </w:r>
    </w:p>
    <w:p>
      <w:r>
        <w:t>a) L’invalidité se définit comme l’incapacité de gain totale ou partielle qui est présumée permanente ou de longue durée et qui résulte d’une infirmité congénitale, d’une maladie ou d’un accident (art. 4 al. 1 LAI</w:t>
      </w:r>
    </w:p>
    <w:p>
      <w:r>
        <w:t>- 14 -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En vertu de l’art. 28b LAI, la quotité de la rente est fixée en pourcentage d’une rente entière. Ainsi, pour un taux d’invalidité compris entre 50 et 69 %, la quotité de la rente correspond au taux d’invalidité. Pour un taux d’invalidité supérieur ou égal à 70 %, l’assuré a droit à une rente entière. Enfin, les quotités de la rente sont les suivantes lorsque le taux d’invalidité est inférieur à 50 % : Taux d'invalidité Quotité de la rente 49 % 47,5 % 48 % 45 % 47 % 42,5 % 46 % 40 % 45 % 37,5 % 44 % 35 % 43 % 32,5 % 42 % 30 %</w:t>
      </w:r>
    </w:p>
    <w:p>
      <w:r>
        <w:t>- 15 - 41 % 27,5 % 40 % 25 % b) aa) Le statut d’un assuré est déterminé en fonction de la situation professionnelle dans laquelle il se trouverait s’il n’était pas atteint dans sa santé. L’assuré est réputé exercer une activité lucrative au sens de l’art. 28a al. 1 LAI dès lors qu’en bonne santé, il exercerait une activité lucrative à un taux d’occupation de 100 % ou plus. Il est réputé ne pas exercer d’activité lucrative au sens de l’art. 28a al. 2 LAI dès lors qu’en bonne santé, il n’exercerait pas d’activité lucrative. Il est enfin réputé exercer une activité lucrative à temps partiel au sens de l’art. 28a al. 3 LAI dès lors qu’en bonne santé, il exercerait une activité lucrative à un taux d’occupation de moins de 100 % (art. 24septies RAI). bb) Le taux d’invalidité des personnes qui exercent une activité lucrative à temps partiel est déterminé par l’addition du taux d’invalidité en lien avec l’activité lucrative et du taux d’invalidité en lien avec les travaux habituels (méthode mixte d’évaluation de l’invalidité). Pour ce faire, il convient d’abord de déterminer quelle part de son temps, exprimée en pourcentage, la personne assurée aurait consacré à l’exercice de son activité lucrative ou à l’entreprise de son conjoint, sans atteinte à la santé, et quelle part de son temps elle aurait consacrée à ses travaux habituels. Le taux d’invalidité en lien avec l’activité lucrative est ensuite déterminé selon l’art. 16 LPGA, en extrapolant le revenu sans invalidité pour une activité lucrative correspondant à un taux d’occupation de 100 %, en calculant le revenu avec invalidité sur la base d’une activité lucrative correspondant à un taux d’occupation de 100 % et en l’adaptant selon la capacité fonctionnelle déterminante, puis en pondérant la perte de gain exprimée en pourcentage en fonction du taux d’occupation qu’aurait l’assuré s’il n’était pas invalide. Quant au taux d’invalidité en lien avec les travaux habituels, il est calculé en déterminant le pourcentage que représentent les limitations dans les travaux habituels par rapport à la situation dans laquelle l’assuré serait sans invalidité, puis en pondérant le pourcentage ainsi déterminé en fonction de la différence entre le taux</w:t>
      </w:r>
    </w:p>
    <w:p>
      <w:r>
        <w:t>- 16 - d’occupation qu’aurait l’assuré s’il n'était pas invalide et une activité lucrative exercée à plein temps (art. 28a al. 3 LAI et 27bis RAI). c) Conformément à l’art. 17 al. 1 LPGA, la rente d’invalidité est, d’office ou sur demande, révisée pour l’avenir, à savoir augmentée, réduite ou supprimée, lorsque le taux d’invalidité de l’assuré subit une modification d’au moins 5 points de pourcentage (let. a) ou atteint 100 % (let. b). Une augmentation notable du taux d’invalidité est établie, en particulier, dès qu’une péjoration déterminante de la capacité de gain ou de la capacité d’accomplir les travaux habituels a duré trois mois sans interruption notable (cf. art. 88a al. 2 RAI). Ces dispositions sont applicables, par analogie, lorsqu’un office de l’assurance-invalidité alloue, avec effet rétroactif, une rente d’invalidité temporaire ou échelonnée (ATF 145 V 209 consid. 5.3 ; 131 V 164 consid. 2.2 ; 125 V 413 consid. 2d).</w:t>
      </w:r>
    </w:p>
    <w:p>
      <w:r>
        <w:rPr>
          <w:b/>
        </w:rPr>
        <w:t>E. 4</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8C_442/2013 du 4 juillet 2014 consid. 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w:t>
      </w:r>
    </w:p>
    <w:p>
      <w:r>
        <w:t>- 17 -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c) Une enquête économique sur le ménage effectuée au domicile de la personne assurée (art. 69 al. 2 RAI)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 130 V 61 consid. 6 ; TF 9C_235/2024 du 30 juillet 2024 consid. 5.2 et les références citées). d) S’agissant de la prise en compte de l’empêchement dans l’accomplissement des travaux habituels (art. 27 al. 1 RAI) dû à l’invalidité, singulièrement de l’aide des membres de la famille (obligation de diminuer le dommage), on admet que si la personne assurée n’accomplit plus que difficilement ou avec un investissement temporel beaucoup plus important</w:t>
      </w:r>
    </w:p>
    <w:p>
      <w:r>
        <w:t>- 18 - certains travaux ménagers en raison de son handicap, elle doit en premier lieu organiser son travail et demander l’aide de ses proches dans une mesure convenable (ATF 141 V 642 consid. 4.3.2 ; ATF 133 V 504 consid.</w:t>
      </w:r>
    </w:p>
    <w:p>
      <w:r>
        <w:rPr>
          <w:b/>
        </w:rPr>
        <w:t>E. 4.2</w:t>
      </w:r>
    </w:p>
    <w:p>
      <w:r>
        <w:t>et les références citées ; TF 9C_248/2022 du 25 avril 2023 consid. 5.3.1). L’aide apportée par les membres de la famille à prendre en considération dans l’évaluation de l’invalidité de l’assuré au foyer va plus loin que celle à laquelle on peut s’attendre sans atteinte à la santé. Il s’agit en particulier de se demander comment se comporterait une cellule familiale raisonnable si elle ne pouvait pas s’attendre à recevoir des prestations d’assurance (ATF 133 V 504 consid. 4.2 et les références citées).</w:t>
      </w:r>
    </w:p>
    <w:p>
      <w:r>
        <w:rPr>
          <w:b/>
        </w:rPr>
        <w:t>E. 5</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 TF 8C_782/2023 du 6 juin 2024 consid. 4.2.1).</w:t>
      </w:r>
    </w:p>
    <w:p>
      <w:r>
        <w:rPr>
          <w:b/>
        </w:rPr>
        <w:t>E. 6</w:t>
      </w:r>
    </w:p>
    <w:p>
      <w:r>
        <w:t>a) En l’espèce, il convient en premier lieu de se pencher sur la question du statut de la recourante, cette dernière ne contestant pas revêtir un statut mixte, mais la proportion qu’elle aurait consacrée à l’exercice d’une activité lucrative en bonne santé retenue par l’intimé. b) Il n’y a pas lieu de suivre l’argumentation de la recourante selon laquelle elle aurait exercé, si elle était restée en bonne santé, une activité professionnelle à 100 %. Dans le formulaire de détermination du statut complété le 12 mai 2022, la recourante a indiqué, qu’en bonne santé, elle exercerait une activité lucrative au taux de 60 %. Dans son</w:t>
      </w:r>
    </w:p>
    <w:p>
      <w:r>
        <w:t>- 19 - acte de recours du 29 avril 2024, elle prétend avoir compris la question posée en ce sens qu’elle était interrogée sur son taux possible à ses capacités maximales, se référant au fait qu’elle avait indiqué, à la même question, 30 % dans le formulaire du 27 juin 2022. Ces explications ne sont pas convaincantes. D’une part, la question est formulée avec clarté dans le questionnaire de détermination du statut et, d’autre part, la recourante présentait une incapacité de travail totale depuis le 11 avril 2022 (cf. rapport « IP – Proposition de DDP » du 23 janvier 2023) – ou à tout le moins de 50 % de son taux contractuel de 60 % (cf. avis médical SMR du 7 février 2023) –, lorsqu'elle a complété les deux questionnaires. A suivre son raisonnement, elle aurait donc dû indiquer 0 % ou 30 % dans les deux questionnaires. Outre que les allégations de la recourante ne reposent sur aucun élément objectif, elles sont manifestement contraires aux déclarations faites par celle-ci à l’enquêtrice le 9 octobre 2023. A cette occasion, la recourante a en effet répété à son interlocutrice qu’elle aurait travaillé à 60 % en bonne santé, ce taux correspondant à ses besoins financiers et à l’organisation familiale, et lui permettant d’être indépendante. Elle a encore indiqué à l’enquêtrice qu’il était question que son mari diminue son taux de travail à 80 % afin de leur permettre de profiter de long week-end ensemble avant la retraite. Quant à l’argument selon lequel les deux enfants de la recourante qui sont nés en [...] et [...] ont grandi, il n’est également pas convaincant. Au regard de l’âge de ses deux fils, la recourante a en effet eu la possibilité d’augmenter la part du temps qu’elle dédiait à l’exercice de son activité professionnelle depuis de nombreuses années déjà, ce qu'elle n'a pas fait. De plus, le fait que ses enfants étaient hyperactifs dès leurs plus jeunes âges n’y change rien, à tout le moins depuis qu’ils sont devenus adultes, à savoir en [...] et [...]. Enfin, le raisonnement de la recourante selon lequel en raison des remplacements accomplis pour répondre au besoin de son employeur, elle aurait travaillé aux taux de 80 % ou 100 %, ne peut pas être suivi. Cette argumentation est en effet contredite par la lecture de l’extrait du 1er avril 2022 du compte individuel (CI) AVS au dossier qui fait état d’un</w:t>
      </w:r>
    </w:p>
    <w:p>
      <w:r>
        <w:t>- 20 - revenu constant de la recourante avant l’atteinte à la santé. Cet extrait est, par ailleurs, confirmé par le montant de salaire annoncé par l’employeur le 2 mai 2022 réalisé par l’intéressée dans le poste d’infirmière-assistante occupé au taux contractuel de 60 % depuis le mois de juin 2007. c) C’est donc à bon droit que l’intimé a retenu une part de personne active de 60 % dans le cadre du statut mixte de la recourante.</w:t>
      </w:r>
    </w:p>
    <w:p>
      <w:r>
        <w:rPr>
          <w:b/>
        </w:rPr>
        <w:t>E. 7</w:t>
      </w:r>
    </w:p>
    <w:p>
      <w:r>
        <w:t>Les critiques formulées à l’occasion de la présente procédure de recours portent essentiellement sur l’évaluation des empêchements rencontrés par la recourante dans la part ménagère, soit dans l’exécution de ses tâches habituelles à hauteur d'un taux d'occupation à 40 % de son temps. a) En l'occurrence, l’OAI a mis en œuvre une enquête économique à domicile afin d’évaluer le taux d’empêchement rencontré dans les tâches habituelles, qui a donné lieu à un premier rapport du 11 octobre 2023, concluant à un taux d’empêchement nul. A la suite des objections formulées le 14 novembre 2023 par la recourante, l’enquêtrice l’a contactée par téléphone et a déposé un nouveau rapport d’enquête, le</w:t>
      </w:r>
    </w:p>
    <w:p>
      <w:r>
        <w:rPr>
          <w:b/>
        </w:rPr>
        <w:t>E. 9</w:t>
      </w:r>
    </w:p>
    <w:p>
      <w:r>
        <w:t>Dans son acte de recours du 29 avril 2024, la recourante a indiqué avoir reçu, le jour-même, un courrier de la Caisse cantonale vaudoise de compensation AVS, qu'elle a produit sous bordereau joint (pièce 4), lui communiquant les éléments déterminants pour le calcul du montant de la rente. Elle estime que, dès lors qu’elle n’a pas pu vérifier les calculs, ses droits devaient être réservés.</w:t>
      </w:r>
    </w:p>
    <w:p>
      <w:r>
        <w:t>- 32 - La recourante n’a pris aucune conclusion concernant le montant de sa rente d’invalidité fixé dans la décision attaquée, pas plus qu’elle n’a émis un quelconque grief sur les calculs de l’autorité, que ce soit dans son acte de recours ou dans sa réplique du 29 août 2024, cette dernière étant largement postérieure au courrier reçu de la caisse de compensation le 29 avril 2024. Il n’y a donc pas lieu d’examiner ce point, la simple demande tendant à ce que les droits de la recourante soient réservés n’étant pas suffisante à cet égard.</w:t>
      </w:r>
    </w:p>
    <w:p>
      <w:r>
        <w:rPr>
          <w:b/>
        </w:rPr>
        <w:t>E. 10</w:t>
      </w:r>
    </w:p>
    <w:p>
      <w:r>
        <w:t>a) Mal fondé, le recours doit être rejeté et la décision attaquée confirmée. b) La procédure de recours en matière de contestations portant sur des prestations de l’assurance-invalidité est soumise à des frais de justice (art. 69 al. 1bis LAI). Il convient de les fixer à 600 fr. et de les mettre à la charge de la recourante, vu le sort de ses conclusions. c) Il n’y a pas lieu d’allouer de dépens à la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