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ZD24.017705 vom 16. Dezember 2025</w:t>
      </w:r>
    </w:p>
    <w:p>
      <w:r>
        <w:t>VD Tribunal cantonal, 2025-12-16, FR</w:t>
      </w:r>
    </w:p>
    <w:p>
      <w:r>
        <w:rPr>
          <w:b/>
        </w:rPr>
        <w:t xml:space="preserve">Quelle: </w:t>
      </w:r>
      <w:r>
        <w:t>https://mcp.opencaselaw.ch/entscheid/vd_gerichte_ZD24.017705</w:t>
      </w:r>
    </w:p>
    <w:p>
      <w:r>
        <w:t>FR: VD_GERICHTE ZD24.017705 du 16 décembre 2025</w:t>
      </w:r>
    </w:p>
    <w:p>
      <w:r>
        <w:t>IT: VD_GERICHTE ZD24.017705 del 16 dicembre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première phrase, LAI, l’évaluation du taux d’invalidité des assurés exerçant une activité lucrative est régie par l’art. 16 LPGA. L’art. 28b LAI dispose que la quotité de la rente est fixée en pourcentage d’une rente entière (al. 1), un taux d’invalidité compris entre 50 et 69 % donnant droit à une quotité de rente correspondant au taux</w:t>
      </w:r>
    </w:p>
    <w:p>
      <w:r>
        <w:t>- 13 -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(al. 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- 14 -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- 15 -</w:t>
      </w:r>
    </w:p>
    <w:p>
      <w:r>
        <w:rPr>
          <w:b/>
        </w:rPr>
        <w:t>E. 7</w:t>
      </w:r>
    </w:p>
    <w:p>
      <w:r>
        <w:t>a) En l’espèce, aux termes de la décision attaquée, l’office intimé a retenu que, dans la mesure où les atteintes à la santé présentées par la recourante n’étaient plus invalidantes au sens de la loi, elle disposait d’une capacité de travail entière en toute activité depuis le mois de juillet 2021. b) La recourante conteste cette appréciation en se prévalant notamment des rapports établis respectivement par les Drs E.________ et L.________ les 25 avril et 16 mai 2024, selon lesquels les troubles présentés excluaient toute capacité de travail résiduelle. c) Le magistrat instructeur a ainsi diligenté une expertise pluridisciplinaire auprès d’H.________.</w:t>
      </w:r>
    </w:p>
    <w:p>
      <w:r>
        <w:rPr>
          <w:b/>
        </w:rPr>
        <w:t>E. 8</w:t>
      </w:r>
    </w:p>
    <w:p>
      <w:r>
        <w:t>Il n’y a pas lieu de s’écarter des conclusions convaincantes de l’expertise judiciaire pluridisciplinaire réalisée par H.________. a) Sur le plan formel, le rapport d’expertise du 19 juin 2025 et ses annexes répondent en tous points aux exigences jurisprudentielles en matière de valeur probante des rapports médicaux. Dans toutes les spécialités médicales, l’expertise est fondée sur des examens cliniques complets. Reposant sur une anamnèse circonstanciée (personnelle, familiale, professionnelle et psychosociale), elle a été établie en pleine connaissance du dossier médical et assécurologique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tâches ménagères. L’appréciation de la situation médicale est claire et débouche sur des conclusions soigneusement motivées.</w:t>
      </w:r>
    </w:p>
    <w:p>
      <w:r>
        <w:t>- 16 - b) aa) Sur le plan de la médecine interne et de la rhumatologie, l’étude de la documentation médicale à disposition, l’anamnèse, l’examen clinique et l’examen paraclinique orientent vers le diagnostic de syndrome polyalgique idiopathique diffus de type fibromyalgie. Dans le diagnostic différentiel, il n’y a pas d’élément en faveur d’une étiologie inflammatoire, infectieuse, tumorale, auto-immune, fracturaire, métabolique toxique. L’examen ostéoarticulaire ne met pas en évidence d’autre pathologie rhumatologique et est superposable à l’examen du SMR du 19 septembre 2023. Les troubles dégénératifs décrits à l’imagerie sont non spécifiques et font partie de l’évolution naturelle, si bien que les experts ne tirent pas de parallèle entre les douleurs et l’imagerie. Ils rejoignent le diagnostic du rhumatologue du SMR posé dans le rapport du 29 novembre 2023, à savoir celui de syndrome polyalgique idiopathique diffus de type fibromyalgie. D’un point de vue somatique, les limitations fonctionnelles sévères rapportées par l’assurée contrastent avec l’absence de raideur importante, d’amyotrophie. Malgré un traitement par Irfen 600 mg une à deux fois par jour, Dafalgan 1 g une à quatre fois par jour, la douleur se calme partiellement mais elle persiste. Elle a eu des séances de physiothérapie avec des résultats modérés. Sur le plan consensuel, les experts relèvent que ce syndrome polyalgique idiopathique diffus entre dans le cadre du syndrome somatoforme douloureux persistant intégrant la problématique psychiatrique. bb) aaa) Sur le plan psychiatrique, les experts constatent que l’assurée présente une humeur triste avec une importante diminution de l’intérêt et du plaisir, ainsi qu’une réduction de son énergie entraînant une augmentation de la fatigabilité et une diminution de l’activité. Elle présente également une diminution de ses compétences cognitives avec des troubles de la concentration et des troubles mnésiques, ainsi qu’une diminution marquée de l’estime de soi et de la confiance en soi. Les experts notent par ailleurs des idées continues de culpabilité et de dévalorisation, une attitude morose et pessimiste face à l’avenir, une perturbation sévère du sommeil, ainsi qu’une diminution de l’appétit. Ces symptômes sont présents depuis plus d’une année (depuis 2021), sans</w:t>
      </w:r>
    </w:p>
    <w:p>
      <w:r>
        <w:t>- 17 - rémission. Dans l’anamnèse, les experts retrouvent des symptômes similaires avec au moins deux épisodes dépressifs distincts ayant nécessité l’introduction d’un traitement antidépresseur et une prise en charge spécialisée. Les symptômes entrent alors dans le cadre d’un trouble dépressif récurrent avec un épisode actuel d’intensité sévère. Les experts observent en outre une variation d’intensité des symptômes, décrite également par la psychiatre traitante, avec des périodes où l’épisode est qualifié d’intensité moyenne alors que, depuis 2024, la gravité de l’épisode est sévère. L’experte psychiatre BD.________ ne relève pas d’autre épisode de modification de l’humeur répondant aux critères d’épisode maniaque ou hypomaniaque, de sorte qu’elle écarte l’existence d’un trouble bipolaire. En parallèle, elle remarque que l’assurée présente des symptômes anxieux primaires, une tension interne, des troubles neurovégétatifs, de multiples symptômes cardiorespiratoires et gastro- intestinaux, ainsi que des douleurs multiples, une atteinte craintive et une anxiété éprouvée. Même si ces symptômes sont importants, elle ne retient pas un diagnostic d’anxiété généralisée, d’une part en raison de la présence d’un épisode dépressif sévère, l’état anxieux étant lié avec l’état émotionnel sous-jacent et, d’autre part, parce que l’anxiété n’a pas de caractère « flottant ». Au reste, elle n’a relevé aucune phobie, ni obsession ou compulsion. D’un point de vue consensuel, les experts déclarent rejoindre l’avis de la psychiatre traitante en retenant le diagnostic de modification durable de la personnalité à la suite d’un traumatisme psychique prolongé lié à la prise en charge de proches malades. En effet, l’anamnèse clinique révèle que depuis un très jeune âge et durant environ huit ans, l’assurée s’est investie intensément dans la prise en charge de ses deux nièces atteintes d’une maladie neurologique grave évolutive et sévère. Elle a assumé un rôle central dans les soins quotidiens, l’accompagnement hospitalier et le soutien psychologique de sa famille. Elle a vécu cette période comme une mission de vie au prix d’un retrait progressif de sa vie professionnelle, sociale et personnelle. Le décès des deux enfants en 2004 et en 2008 a été vécu comme un effondrement marqué par une profonde détresse émotionnelle. Depuis cet événement, l’assurée présente, selon</w:t>
      </w:r>
    </w:p>
    <w:p>
      <w:r>
        <w:t>- 18 - les experts, une modification durable de la personnalité. Elle montre en effet un désintérêt marqué pour ses activités antérieures, une méfiance généralisée envers les relations sociales, une tristesse chronique, une perte d’élan vital ainsi qu’une culpabilité. Les fonctions cognitives restent préservées bien que la Dre BD.________ observe une rumination anxiodépressive et une rigidité émotionnelle accrue. Un diagnostic de trouble de la personnalité émotionnellement labile a été retenu par les psychiatres s’étant chargés de l’évaluation de l’intéressée lors de son hospitalisation en avril 2024 à V*** en admission volontaire en raison d’idées suicidaires dans un contexte de conflit conjugal. Si l’experte psychiatre se déclare d’accord avec les traits pathologiques de la personnalité retenus à cette occasion, ils entrent à son avis plutôt dans le cadre d’une modification durable de la personnalité. Le tableau clinique de l’assurée correspond également à celui d’un trouble douloureux somatoforme persistant ; elle présente en effet des plaintes somatiques associées à des demandes d’investigations médicales, car elle n’accepte pas les propos rassurants des médecins. La plainte essentielle concerne les douleurs intenses et persistantes dans tout le corps, notamment des lombalgies et des cervicalgies. Les douleurs sont accompagnées d’un sentiment de détresse externe non expliquées par un processus physiologique ou un trouble physique survenant dans un contexte de conflit émotionnel important, ayant depuis peu conduit à une séparation, associée à des difficultés en lien avec la maladie de son fils atteint d’autisme, lequel habite toujours avec elle. Ce trouble est présent depuis plus de deux ans et les symptômes s’accompagnent de perturbation du comportement conduisant à une altération du fonctionnement social et professionnel. L’absence d’autre signe ou symptôme de souffrance psychique permet d’exclure d’autres diagnostics psychiatriques. bbb) Les experts d’H.________ exposent ensuite que le volet psychiatrique de leur expertise se distancie de l’examen clinique psychiatrique effectué par le Dr P.________ le 19 septembre 2023 au niveau des conclusions diagnostiques. En effet, le Dr P.________ mentionne</w:t>
      </w:r>
    </w:p>
    <w:p>
      <w:r>
        <w:t>- 19 - qu’il ne relève pas de traits pathologiques de la personnalité. S’il n’existe effectivement pas de limitations sévères en lien avec la personnalité pour justifier la présence d’un trouble de la personnalité, l’examen clinique réalisé auprès d’H.________ retient des traits pathologiques de la personnalité qui se sont progressivement installés dans un contexte de traumatisme psychique prolongé. Le Dr P.________ indique l’absence de critères en faveur d’un état de stress post-traumatique pour justifier le rejet du diagnostic de modification durable de la personnalité. Or les experts soulignent que ce diagnostic ne nécessite pas, selon la CIM-10, la présence d’antécédents d’état de stress post-traumatique, mais qu’il peut y avoir divers antécédents, y compris non traumatiques, comme par exemple des effets de longue durée de troubles relationnels, de maladies chroniques, ou d’autres facteurs de stress psychologiques non catastrophiques. En ce qui concerne le rejet du syndrome douloureux somatoforme persistant dans le cadre du maintien d’activités de la vie sociale et personnelle et en présence d’un diagnostic de fibromyalgie retenu par les médecins du SMR, les experts notent que les douleurs entrent davantage dans le cadre du syndrome somatoforme si les critères du trouble douloureux somatoforme persistant sont remplis. Tel est notamment le cas avec des douleurs présentes depuis plusieurs mois, une détresse émotionnelle significative en lien avec les douleurs, un impact fonctionnel et une relation probable entre la douleur et un stress psychologique dans un contexte de conflit émotionnel sous-jacent. De l’avis des experts, les activités maintenues par l’assurée ne diminuent pas l’impact fonctionnel de la pathologie chez une personne ayant dû arrêter son activité professionnelle, limiter d’une manière importante les tâches ménagères qu’elle assurait auparavant et diminuer ses activités sociales (sorties avec des amies, fréquentation de l’église). Le Dr P.________ s’écarte finalement du diagnostic de trouble dépressif récurrent et lui préfère celui de dysthymie. Au vu de leur appréciation clinique et anamnestique, les experts retiennent au moins deux épisodes dépressifs distincts en 2010 et en 2024, ce dernier étant</w:t>
      </w:r>
    </w:p>
    <w:p>
      <w:r>
        <w:t>- 20 - toujours en cours au jour de l’expertise. D’après eux, l’abaissement chronique de l’humeur rentre dans le cadre de la modification de la personnalité ayant conduit à un certain retrait social progressif et à un fond anxieux chronique. cc) aaa) Au regard des atteintes à la santé mises en évidence, les experts ont écarté l’existence de limitations fonctionnelles rhumatologiques en l’absence de lésion anatomique structurelle objectivable. D’un point de vue psychiatrique et selon l’analyse de la Mini CIF-APP, l’assurée présente une diminution des capacités d’adaptation aux règles et aux routines en raison des douleurs chroniques, mais singulièrement par suite d’un manque de motivation et de symptôme dépressifs importants. En ce qui concerne la capacité de planification et de structuration des tâches, l’intéressée présente une capacité diminuée de manière importante de consacrer le temps adéquat dans les activités en raison des troubles de la mémoire et de la concentration et plus globalement des symptômes anxieux et dépressifs. La capacité d’adapter son comportement, sa réflexion et son vécu à des situations changeantes est diminuée de manière importante par ses troubles psychiatriques. Elle bénéfice de compétences professionnelles dans le domaine du ménage mais elle présente une diminution moyenne à sévère de sa capacité de mettre en œuvre ses compétences, limitations liées aux douleurs ainsi qu’à l’épisode dépressif et aux traits de personnalité. Elle présente une fatigue, des troubles de la mémoire et de la concentration, ainsi que des difficultés au niveau relationnel. La capacité de jugement et de prise de décisions est diminuée ainsi que la capacité d’endurance. La capacité d’affirmation est affaiblie de manière marquée et le sens du contact envers des tiers est légèrement diminué. La capacité d’évoluer au sein d’un groupe est également impactée de manière légère. Les activités spontanées sont diminuées ainsi que l’hygiène et les soins corporels. bbb) Lors de l’entretien psychiatrique, l’assurée a livré une anamnèse cohérente, exprimant son désarroi face à ses symptômes</w:t>
      </w:r>
    </w:p>
    <w:p>
      <w:r>
        <w:t>- 21 - physiques ainsi qu’une perte de plaisir et de l’énergie interne, évoquant un sentiment de désespoir. Les symptômes dépressifs compliquent davantage son quotidien avec une fatigue et des troubles cognitifs légers qui se surajoutent. Selon le descriptif d’une journée-type fait par l’intéressée, les experts en infèrent que ses douleurs l’immobilisent dans sa vie quotidienne. Mais, même quand ces douleurs sont absentes, un désinvestissement et un appauvrissement important des activités de la vie quotidienne est provoqué par les symptômes anxieux et dépressifs. Les troubles psychiques actuels provoquent alors une réduction claire des activités professionnelles et extra-professionnelles. Les experts concluent que le tableau clinique est cohérent avec des limitations uniformes dans toutes les activités de la vie quotidienne. ccc) Les experts d’H.________ constatent des traits pathologiques de la personnalité entrant dans le cadre d’une modification durable de la personnalité. Le sens de la réalité est conservé, mais l’intentionnalité est affaiblie en raison d’une fatigabilité et d’une anxiété importantes. La capacité à gérer ses émotions est affaiblie, l’assurée n’arrivant pas à contenir sa tristesse, étant souvent en larmes durant l’entretien malgré l’effort notable qu’elle déploie pour ne pas montrer sa souffrance. Il n’y a pas de trouble du contrôle des impulsions, l’assurée n’étant pas une personne conflictuelle, mais étant au contraire capable d’entretenir des relations stables au long cours, relations sur lesquelles elle peut s’appuyer. Les fonctions complexes du moi sont actuellement diminuées dans leur efficacité en raison des troubles psychiques. Un désinvestissement des différentes sources de plaisir est constaté, tant du fait des symptômes dépressifs que des douleurs chroniques persistantes. Malgré une diminution de son réseau social, la recourante est bien entourée par son fils et quelques amis. ddd) Concernant le traitement, les experts estiment qu’un suivi psychiatrique et psychothérapeutique est nécessaire pour le trouble dépressif, alors qu’il peut représenter un soutien pour le syndrome douloureux somatoforme persistant et la modification de la personnalité. Ces mesures sont actuellement introduites, mais ils notent une péjoration</w:t>
      </w:r>
    </w:p>
    <w:p>
      <w:r>
        <w:t>- 22 - récente de l’état clinique dans le cadre de la séparation. Une réévaluation du traitement médicamenteux associée à une intensification des séances de psychothérapie est proposée. Un essai de changement du traitement d’escitalopram pour de la venlafaxine s’est soldé par un échec. Ils préconisent par ailleurs une coordination des soins psychiatriques et somatiques avec la mise en place d’un réseau de soins intégrant un suivi conjoint par le médecin généraliste, les spécialistes et la personne chargée des séances de physiothérapie. Pour le reste, les experts n’ont émis aucune recommandation thérapeutique sur le plan rhumatologique. dd) Sur la base de leur analyse, les experts ont retenu que la capacité de travail était nulle en toute activité depuis 2021. d) Dans ses avis des 4 et 7 août 2025, le SMR critique le volet psychiatrique de l’expertise judiciaire d’H.________ en remettant plus particulièrement en cause les diagnostics retenus. Or les experts ont non seulement soigneusement exposé les motifs pour lesquels ils retenaient les diagnostics posés (trouble dépressif récurrent, épisode actuel sévère, sans symptômes psychotiques ; modification durable de la personnalité sans précision et syndrome douloureux somatoforme persistant), mais ils ont également expliqué pour quelles raisons ils s’écartaient des diagnostics posés par le Dr P.________ dans le rapport d’examen clinique du 29 novembre 2023 (cf. considérant 8b/bb ci-dessus). Au demeurant, contrairement à ce que prétend le SMR, les indicateurs jurisprudentiels ont été dûment analysés (cf. considérant 8b/cc ci-dessus). Le SMR conteste aussi les répercussions des atteintes à la santé diagnostiquées sur la capacité de travail de la recourante en soulignant la pauvreté des éléments anamnestiques et cliniques. Outre que les experts ont pris soin de rendre compte de la variation de l’intensité de la symptomatologie dépressive, ils ont plus particulièrement décrit en quoi les douleurs – chroniques et présentes de longue date – se répercutaient dans différentes sphères de la vie, sous la forme d’un désinvestissement des sources de plaisir, d’une diminution et d’un appauvrissement importants des tâches ménagères et sociales ainsi que d’un affaiblissement des capacités d’adaptation aux règles et aux routines. Selon les experts</w:t>
      </w:r>
    </w:p>
    <w:p>
      <w:r>
        <w:t>- 23 - d’H.________, le contraste des plaintes majeures et l’examen clinique relativement pauvre et l’absence de raideur ou d’amyotrophie peuvent être expliqués par les troubles psychiatriques, et notamment par le syndrome douloureux somatoforme persistant. On peut dès lors se demander dans ce contexte si les médecins du SMR ont pris la véritable mesure des répercussions des atteintes à la santé incapacitantes sur la totalité des domaines de la vie (sociale, familiale professionnelle et affective) de la recourante. Pour le reste, le SMR ne fait pas réellement état de contradictions ou de défauts manifestes entachant l’expertise judiciaire pluridisciplinaire d’H.________, si bien que les critiques y relatives tendent davantage à substituer sa propre appréciation à celle des experts qu’à établir l’existence d’une carence évidente dans l’évaluation expertale. e) Sur le vu de ce qui précède, il convient de retenir que l’assurée est en incapacité totale de travail depuis 2021, en particulier à compter de l’arrêt de toute activité depuis le mois d’avril 2021. Dans la mesure où les experts estiment qu’aucune activité ne permettrait à la recourante d’améliorer son taux d’activité, le taux d’invalidité se confond avec l’incapacité de travail telle qu’elle a été retenue par les experts d’H.________ (application de la méthode de comparaison en pour-cent ; ATF 114 V 310 consid. 3a ; TF 9C_252/2021 du 9 février 2022 consid. 6 et la référence citée). L’assurée a indiqué dans le formulaire complété le 11 décembre 2020 qu’elle exercerait une activité lucrative à 50 %. Au vu de l’incapacité totale de travail et de la réduction des tâches ménagères dans une mesure qualifiée d’importante (cf. rapport d’expertise [évaluation consensuelle] du 19 juin 2025, p. 5 et considérant 8b/bb/bbb ci-dessus), il y a lieu d’admettre que le taux d’invalidité ne saurait être inférieur à 70 %. Vu le délai de carence d’une année, lequel coïncide avec celui de six mois en raison du caractère tardif de la demande déposée le 8 octobre 2021, la recourante est mise au bénéfice d’une rente entière d’invalidité à compter du 1er avril 2022 (art. 28 al. 1, 28b et 29 LAI).</w:t>
      </w:r>
    </w:p>
    <w:p>
      <w:r>
        <w:rPr>
          <w:b/>
        </w:rPr>
        <w:t>E. 9</w:t>
      </w:r>
    </w:p>
    <w:p>
      <w:r>
        <w:t>a) Aux termes de l’art. 45 al. 1 LPGA, les frais de l’instruction sont pris en charge par l’assureur qui a ordonné les mesures. A défaut,</w:t>
      </w:r>
    </w:p>
    <w:p>
      <w:r>
        <w:t>- 24 - l’assureur rembourse les frais occasionnés par les mesures indispensables à l’appréciation du cas ou comprises dans les prestations accordées ultérieurement. Conformément à la jurisprudence du Tribunal fédéral en matière d'assurance-invalidité (cf. ATF 139 V 349 consid. 5.4, 496 consid. 4.3), les frais qui découlent de la mise en oeuvre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 sur l'ensemble de la question, cf. aussi Erik Furrer, Rechtliche und praktische Aspekte auf dem Weg zum Gerichtsgutachten in der Invalidenversicherung, RSAS 2019, p. 14). b) En l’occurrence, la Cour de céans s’est vue contrainte de mettre en œuvre une expertise judiciaire pluridisciplinaire auprès d’H.________. Cette démarche a été rendue nécessaire, d’une part, par le fait que la recourante souffre d’atteintes à la santé relevant de diverses spécialités médicales et, d’autre part, par l’existence d’avis médicaux divergents versés au dossier. Or une instruction rigoureuse du cas aurait</w:t>
      </w:r>
    </w:p>
    <w:p>
      <w:r>
        <w:t>- 25 - commandé que l’autorité administrative ne s’en tienne pas sans autre à l’examen clinique bidisciplinaire effectué au SMR mais lève les contradictions qui subsistaient en mettant en œuvre une expertise neutre afin de disposer d’une appréciation complète et détaillée de la situation médicale. Dans ces conditions, il se justifie de mettre à la charge de l’office AI la totalité des frais qui ont été nécessaires à la mise en œuvre de l’expertise judiciaire, soit un montant de 13'000 fr. conformément à la facture établie par H.________ le 3 juillet 2025.</w:t>
      </w:r>
    </w:p>
    <w:p>
      <w:r>
        <w:rPr>
          <w:b/>
        </w:rPr>
        <w:t>E. 10</w:t>
      </w:r>
    </w:p>
    <w:p>
      <w:r>
        <w:t>En définitive, le recours doit être admis et la décision attaquée réformée, en ce sens que D.________ est mise au bénéfice d’une rente entière d’invalidité à compter du 1er avril 2022.</w:t>
      </w:r>
    </w:p>
    <w:p>
      <w:r>
        <w:rPr>
          <w:b/>
        </w:rPr>
        <w:t>E. 11</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