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ZD24.017360 vom 28. April 2025</w:t>
      </w:r>
    </w:p>
    <w:p>
      <w:r>
        <w:t>VD Tribunal cantonal, 2025-04-28, FR</w:t>
      </w:r>
    </w:p>
    <w:p>
      <w:r>
        <w:rPr>
          <w:b/>
        </w:rPr>
        <w:t xml:space="preserve">Quelle: </w:t>
      </w:r>
      <w:r>
        <w:t>https://mcp.opencaselaw.ch/entscheid/vd_gerichte_ZD24.017360</w:t>
      </w:r>
    </w:p>
    <w:p>
      <w:r>
        <w:t>FR: VD_GERICHTE ZD24.017360 du 28 avril 2025</w:t>
      </w:r>
    </w:p>
    <w:p>
      <w:r>
        <w:t>IT: VD_GERICHTE ZD24.017360 del 28 aprile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- 19 -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w:t>
      </w:r>
    </w:p>
    <w:p>
      <w:r>
        <w:t>- 20 - générale de comparaison des revenus. C’est la méthode ordinaire de comparaison des revenus (art. 16 LPGA et 28a al. 1 LAI [dans sa teneur en vigueur au 31 décembre 2021]). bb) Pour un assuré qui n'exerçait pas d'activité lucrative avant d'être atteint dans sa santé et dont il ne peut être exigé qu'il en exerce une, il y a lieu d'effectuer une comparaison des activités, en cherchant à établir dans quelle mesure il est empêché d'accomplir ses travaux habituels ; c'est la méthode spécifique d'évaluation de l'invalidité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un assuré qui n'exerçait que partiellement une activité lucrative, l'invalidité est, pour cette part, évaluée selon la méthode générale de comparaison des revenus, étant toutefois précisé que le revenu qui aurait pu être obtenu de cette activité à temps partiel est extrapolé pour la même activité exercée à plein temps.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(ATF 137 V 334 consid. 3.1.3 et les références citées). Les taux d’invalidité ainsi calculés sont ensuite pondérés en proportion de la part du temps consacrée à chacun des deux domaines d’activité, avant d’être additionnés pour fixer le taux d’invalidité globale. C’est la méthode mixte d’évaluation de</w:t>
      </w:r>
    </w:p>
    <w:p>
      <w:r>
        <w:t>- 21 -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- 22 -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w:t>
      </w:r>
    </w:p>
    <w:p>
      <w:r>
        <w:t>- 23 -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w:t>
      </w:r>
    </w:p>
    <w:p>
      <w:r>
        <w:t>- 24 -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 S’agissant de la prise en compte de l’empêchement dans l’accomplissement des travaux habituels (art. 27 al. 1 RAI) ou les actes ordinaires de la vie (art. 37 RAI)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141 V 642 consid. 4.3.2 ; ATF 133 V 504 consid. 4.2 et les références ; TF 9C_248/2022 du 25 avril 2023 consid 5.3.1).</w:t>
      </w:r>
    </w:p>
    <w:p>
      <w:r>
        <w:rPr>
          <w:b/>
        </w:rPr>
        <w:t>E. 6</w:t>
      </w:r>
    </w:p>
    <w:p>
      <w:r>
        <w:t>des expertises spécialisées), une évaluation médicale et médico-</w:t>
      </w:r>
    </w:p>
    <w:p>
      <w:r>
        <w:t>- 26 - assurantielle (ch. 7 des expertises spécialisées) et les réponses motivées de l’expert aux questions soumises par l’intimé (ch. 8 des expertises spécialisées). L’évaluation consensuelle propose une synthèse étayée de la situation médicale de la recourante, établie après une conférence consensuelle qui s’est tenue le 20 novembre 2023 (cf. ch. 5 de l’évaluation consensuelle). Les experts ont ainsi retenu une incapacité de travail totale pour des motifs psychiatriques du 31 janvier 2018 au 1er juillet 2019 et, dès cette date, une capacité de travail de 80 % pour des motifs somatiques uniquement. La recourante conteste l’évaluation de la capacité de travail faite par les experts en se prévalant principalement des rapports établis à l’issue de son hospitalisation dans le service du Prof. A.________ en janvier 2023. Elle a en outre produit un rapport établi le 13 juin 2024 par le Dr H.________. aa) Du point de vue psychique, l’hospitalisation de janvier 2023 a inclus un bilan psychiatrique, au terme duquel le Dr F.________ a retenu le diagnostic de trouble dépressif récurrent, épisode actuel moyen avec syndrome somatique (F 33.11). Il n’a cependant pas mentionné d’incapacité de travail en lien avec ce diagnostic et s’est limité à poser un pronostic réservé quant à l’évolution clinique et la reprise du travail, au motif que la recourante disposait de peu de ressources. Il n’a cependant pas proposé d’analyse des ressources et difficultés de sa patiente. Les rapports des psychiatres traitants souffrent des mêmes lacunes. Leurs rapports des 24 avril et 23 août 2023 concluaient également à un trouble dépressif récurrent, épisode actuel moyen, auquel s’ajoutaient une altération du fonctionnement de la personnalité avec des traits narcissiques, ainsi qu’une tendance à la projection et à la victimisation. S’agissant de la capacité de travail, les Drs M.________ et [...], respectivement [...], se ralliaient au taux demandé par leur patiente sans procéder à une véritable analyse des ressources et difficultés en lien avec l’état psychique. Il convient au demeurant de tenir compte du fait que les psychiatres traitants peuvent être influencés par la relation thérapeutique</w:t>
      </w:r>
    </w:p>
    <w:p>
      <w:r>
        <w:t>- 27 - nouée avec la recourante depuis 2018, ce qui amoindrit la valeur probante de leurs conclusions sur la capacité de travail. Pour sa part, l’expert psychiatre du Centre d'expertise U.________ a posé les diagnostics de troubles anxieux et dépressifs mixtes, ainsi que de syndrome douloureux somatoforme persistant, en précisant les éléments anamnestiques qui l’amenaient à les retenir et en se positionnant par rapports aux diagnostics différentiels, notamment ceux retenus par les psychiatres traitants. Puis, pour évaluer la capacité de travail en rapport avec l’état psychique, l’expert a évalué les ressources de la recourante découlant de l’anamnèse en s’appuyant sur les critères de la mini CIF-APP. Il a également examiné la cohérence et la plausibilité. Ainsi, contrairement aux médecins traitants, le Dr E.________ a procédé à une analyse complète tenant compte des différents indicateurs exigés par la jurisprudence, de sorte que son appréciation doit être privilégiée. bb) Sur le plan somatique, il apparait que le Prof. A.________ et le Dr [...] ont conclu à une capacité de travail de 50 % dans une activité adaptée dans leur rapport du 28 février 2023 en se référant uniquement au désir exprimé par leur patiente de conserver son emploi actuel. Il est du reste indiqué que les médecins étaient d’accord « à condition que le travail soit adapté à ces limitations », ce qui montre que cette question n’a pas été analysée. Réinterrogés par l’intimé, les deux médecins ont confirmé le 15 juin 2023 que le taux de 50 % tenait compte du souhait de la recourante de conserver son emploi, de ses difficultés et souffrances, ainsi que du temps consacré aux thérapies prescrites. Il est ainsi avéré que des critères non pertinents pour évaluer la capacité de la recourante en lien avec ses atteintes somatiques ont été pris en compte. Pour sa part, le Dr H.________ n’a pas posé de nouveau diagnostic et ne s’est pas déterminé sur la capacité de travail de la recourante dans son rapport du 13 juin 2024. Enfin, il convient de relever que la Dre S.________ ne s’est jamais prononcée sur la capacité de travail de sa patiente. Quant à la Dre Q.________, ses différents rapports concluent également à une capacité de travail de 50 % fondée essentiellement sur les déclarations de la recourante, sans proposer de véritable analyse de cette question.</w:t>
      </w:r>
    </w:p>
    <w:p>
      <w:r>
        <w:t>- 28 - Les rapports des médecins somatiques traitants ne sont ainsi pas de nature à contredire les conclusions du Dr O.________, fondées sur une anamnèse détaillée, un examen somatique complet ainsi qu’une analyse étayée des éléments médicaux à disposition. L’expert du Centre d'expertise U.________ a tenu compte des plaintes douloureuses de la patiente tout en analysant concrètement leur incidence sur l’activité d’assistante en pharmacie telle qu’exercée par la recourante dans ses précédents emplois et sur l’activité d’assistante administrative actuelle. Il s’est appuyé notamment sur les descriptifs desdites activités, sur les déclarations de l’intéressée à propos du déroulement de sa journée-type et de son vécu au travail, ainsi que sur les résultats des examens auxquels il a procédé. cc) En conséquence, il faut constater que l’intimé était fondé à retenir que la recourante présentait, dès le 1er juillet 2019, une capacité de travail de 100 % avec une baisse de rendement de 20 % dans une activité adaptée aux limitations fonctionnelles d’ordre rhumatologique. Il reste à déterminer le degré d’invalidité dans la part active.</w:t>
      </w:r>
    </w:p>
    <w:p>
      <w:r>
        <w:rPr>
          <w:b/>
        </w:rPr>
        <w:t>E. 7</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w:t>
      </w:r>
    </w:p>
    <w:p>
      <w:r>
        <w:t>- 29 -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w:t>
      </w:r>
    </w:p>
    <w:p>
      <w:r>
        <w:t>- 30 - sur le revenu d’invalide est nécessaire. La jurisprudence admet de procéder à une déduction de 25 % au maximum pour en tenir compte (ATF 146 V 16 consid. 4.1 ; 126 V 75).</w:t>
      </w:r>
    </w:p>
    <w:p>
      <w:r>
        <w:rPr>
          <w:b/>
        </w:rPr>
        <w:t>E. 8</w:t>
      </w:r>
    </w:p>
    <w:p>
      <w:r>
        <w:t>Pour déterminer le degré d’invalidité dans la part active, l’intimé a procédé à un premier calcul fondé, pour le revenu sans invalidité, sur les montants soumis à cotisation en 2017 figurant sur l’extrait du compte individuel AVS, rapporté à un taux d’activité de 100 % et indexé. Pour le revenu avec invalidité, l’intimé a utilisé le revenu moyen qu’une femme pouvait obtenir, tous secteurs confondus, selon les données statistiques résultant de l’ESS 2018, adapté à la durée usuelle du travail, indexé, au taux de 80 % et sans abattement supplémentaire, aboutissant à un préjudice économique de 32,21 %. Dans un second calcul devant tenir compte du résultat des mesures de reclassement professionnel achevées en septembre 2020, l’intimé a comparé le même revenu sans invalidité au salaire obtenu dans l’emploi d’assistante administrative actuel, rapporté à un taux d’activité de 80 %, ce qui aboutissait à un préjudice économique de 28,25 %. La recourante n’a pas critiqué les chiffres utilisés. Il convient de relever que l’intimé s’est trompé en indexant, dans ses deux calculs, les revenus à l’année 2022 au lieu des années 2019, respectivement 2021. La même erreur entachant à chaque fois les deux chiffres à comparer, elle n’a aucune incidence sur le résultat. Ainsi, il faut constater qu’en juillet 2019, lorsque la recourante a récupéré une capacité de travail globale de 80 % dans une activité adaptée à ses limitations fonctionnelles, le taux d’empêchement dans la part active de 80 % était de (32,21 % x 80 %=) 25,79 % et que ce taux a diminué à (28,25 % x 80 %=) 22,60 % après les mesures professionnelles achevées en septembre 2020. En ajoutant le taux d’empêchement dans la part ménagère (cf. supra consid. 6b) rapporté au taux de 20 %, soit (2,7 % x 20 % =) 0,54 %, le degré d’invalidité global de la recourante était de (25,79 % + 0,54 % =) 26 % en 2019, respectivement (22,60 % + 0,54 % =) 23 % en 2021 (chiffres arrondis ; cf. ATF 130 V 121 consid. 3.2). Ces taux sont inférieurs au minimum ouvrant le droit à une rente d’invalidité, de sorte que l’intimé a</w:t>
      </w:r>
    </w:p>
    <w:p>
      <w:r>
        <w:t>- 31 - mis fin à juste titre au versement de la rente entière au 30 septembre 2019, soit trois mois après l’amélioration de la capacité de gain. Il convient enfin de relever que, même si le taux d’invalidité de la recourante atteint le seuil de 20 % qui ouvre le droit à un reclassement professionnel (art. 17 al. 1 LAI ; ATF 139 V 399 consid. 5.3), une telle mesure n’entre toutefois pas en ligne de compte en l’espèce. En effet, comme l’a constaté l’intimé, l’intéressée a déjà été mise au bénéfice de mesures professionnelles, qui lui ont permis d’obtenir un poste d’assistante administrative adapté à ses limitations fonctionnelles, si bien qu’aucune autre mesure ne paraît susceptible de diminuer encore le préjudice économique.</w:t>
      </w:r>
    </w:p>
    <w:p>
      <w:r>
        <w:rPr>
          <w:b/>
        </w:rPr>
        <w:t>E. 9</w:t>
      </w:r>
    </w:p>
    <w:p>
      <w:r>
        <w:t>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 ATF 127 V 205 consid. 4b).</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