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ZD24.014490 vom 5. September 2024</w:t>
      </w:r>
    </w:p>
    <w:p>
      <w:r>
        <w:t>VD Tribunal cantonal, 2024-09-05, FR</w:t>
      </w:r>
    </w:p>
    <w:p>
      <w:r>
        <w:rPr>
          <w:b/>
        </w:rPr>
        <w:t xml:space="preserve">Quelle: </w:t>
      </w:r>
      <w:r>
        <w:t>https://mcp.opencaselaw.ch/entscheid/vd_gerichte_ZD24.014490</w:t>
      </w:r>
    </w:p>
    <w:p>
      <w:r>
        <w:t>FR: VD_GERICHTE ZD24.014490 du 5 septembre 2024</w:t>
      </w:r>
    </w:p>
    <w:p>
      <w:r>
        <w:t>IT: VD_GERICHTE ZD24.014490 del 5 settembre 2024</w:t>
      </w:r>
    </w:p>
    <w:p>
      <w:pPr>
        <w:pStyle w:val="Heading2"/>
      </w:pPr>
      <w:r>
        <w:t>Erwägungen</w:t>
      </w:r>
    </w:p>
    <w:p>
      <w:r>
        <w:rPr>
          <w:b/>
        </w:rPr>
        <w:t>E. 31</w:t>
      </w:r>
    </w:p>
    <w:p>
      <w:r>
        <w:t>décembre 2021.</w:t>
      </w:r>
    </w:p>
    <w:p>
      <w:r>
        <w:t>- 11 - 3. Le litige porte sur l’étendue du droit du recourant à des prestations de l’assurance-invalidité à la suite de sa demande du 6 novembre 2018, singulièrement sur le point de savoir s’il peut prétendre à l’octroi d’une rente entière d’invalidité en lieu et place d’une demi-rente.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w:t>
      </w:r>
    </w:p>
    <w:p>
      <w:r>
        <w:t>- 12 -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en outre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- 13 -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w:t>
      </w:r>
    </w:p>
    <w:p>
      <w:r>
        <w:t>- 14 -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le recourant a déposé une demande de prestations AI le 6 novembre 2018 en faisant état d’une dépression. La psychologue X.________ et le Dr Q.________ ainsi que le Dr P.________ ont posé les diagnostics de trouble dépressif récurrent, épisode actuel moyen (F33.1), de trouble de la personnalité (F60.9), de jeu pathologique (F63) et de prolactinome et ont attesté une capacité de travail de 50 % jusqu’en novembre 2018, puis une totale incapacité de travail jusqu’en juin 2019 (cf. rapports des 8 janvier 2019 et 3 août 2020). Après que la mesure mise en œuvre prévue auprès de Y.________ du 3 janvier au 4 juillet 2022 a été interrompue le 13 mai 2022, l’OAI a repris l’instruction de la demande et a requis deux rapports auprès de la psychologue X.________ et du Dr P.________ en septembre 2022 et février 2023. Ces derniers ont retenu une capacité de travail de 50 %, avec une reprise progressive à 30 % dans un premier temps (cf. rapport du 14 septembre 2022). Le Dr M.________ a quant à lui attesté une incapacité de travail de 80 % depuis le 18 octobre 2022 en précisant que le pronostic en terme de capacité de travail à 100 % était mauvais à court et à long terme et que la capacité de travail résiduelle de 20 % était théorique (cf. rapport le 27 avril 2023).</w:t>
      </w:r>
    </w:p>
    <w:p>
      <w:r>
        <w:t>- 15 - Face à ces éléments contradictoires, l’OAI a mis en œuvre une expertise psychiatrique auprès de la Dre Z.________ qui, après avoir examiné le recourant, a posé le diagnostic avec répercussion sur la capacité de travail de trouble dépressif récurrent moyen avec syndrome somatique depuis 2011 et le diagnostic sans répercussion sur la capacité de travail de traits de la personnalité dépendante et anxieuse actuellement non décompensé. Elle a estimé que la capacité de travail était nulle dans l’activité habituelle depuis 2011 et de 70 % depuis le même moment dans une activité adaptée, soit sans relations sociales intenses ou stressantes et ne nécessitant pas une concentration optimale (cf. rapport du 18 août 2023). C’est sur la base de cette expertise que l’OAI a retenu une capacité de travail de 70 % dans une activité adaptée que le recourant conteste. b) aa) Il faut constater ici que le rapport du 18 août 2023 de la Dre Z.________ est probant dès lors qu’il remplit toutes les exigences formelles auxquelles la jurisprudence soumet la valeur probante d’un tel document. En effet, l’experte, qui a rencontré le recourant à deux reprises les 29 juin et 6 juillet 2023, a fondé son appréciation sur le dossier médical du recourant qu’elle a synthétisé (ch. 2) et complété par des analyses sanguines (ch. 4.3.4). Elle a également établi une anamnèse basée sur ses entretiens avec le recourant qu’elle a notamment interrogé sur ses plaintes, ses troubles actuels, la gestion de ces troubles dans la vie quotidienne, sa famille, son parcours scolaire et professionnel, ses habitudes de vie (activités quotidiennes ou déroulement d’une journée habituelle) et les traitements suivis (ch. 3). L’experte a également protocolé les constatations faites à l’occasion de ses examens (ch. 4) et a posé ses diagnostics tout en exposant pourquoi certains diagnostics étaient écartés (ch. 6). Elle a également donné son évaluation de la situation médicale et médico-assurantielle, incluant une évaluation de la cohérence et de la plausibilité, ainsi qu’une appréciation des capacités, des ressources et des difficultés du recourant (ch. 7) avant de répondre aux questions du mandant (ch. 8). On relèvera en outre que la Dre</w:t>
      </w:r>
    </w:p>
    <w:p>
      <w:r>
        <w:t>- 16 - Z.________ a dégagé son appréciation de la capacité de travail du recourant à la lumière des indicateurs déterminants selon la jurisprudence en matière de troubles psychiques (ATF 141 V 281 et ATF 143 V 418). En effet, elle a notamment pris en compte le degré de gravité fonctionnel des troubles, le succès du traitement et de la réadaptation, les comorbidités, les ressources personnelles à disposition du recourant ainsi que le contexte social et la cohérence (ch. 7.2). L’appréciation de la situation médicale est claire et débouche sur des conclusions soigneusement motivées aux termes desquelles elle a retenu une capacité de travail de 0 % depuis 2011 dans l’activité habituelle car celle-ci nécessitait des relations sociales intenses et stressantes et des capacités de concentration optimales. Elle a reconnu une capacité de travail de 70 % dans une activité adaptée au niveau d’acquisition sans relations sociales intenses ou stressantes et ne nécessitant pas une concentration optimale. L’experte a enfin précisé que l’évolution était stationnaire et que la situation n’étant pas stabilisée, un suivi psychiatrique et un traitement antidépresseur pouvaient améliorer le pronostic évolutif et la capacité de travail. bb) Les pièces médicales produites par le recourant dans le cadre de la procédure de recours, si elles peuvent être prises en compte du moment qu’elles se rapportent à la situation prévalant au moment de la décision de l’OAI (cf. ATF 99 V 98 consid. 4 ; TF 9C_34/2017 du 20 avril 2017 consid. 5.2) ne permettent pas de mettre sérieusement en doute les conclusions de l’expertise psychiatrique de la Dre Z.________. En effet, les deux certificats du Dr M.________ des 20 juin 2023 et 9 avril 2024, outre le fait qu’il est admis de jurisprudence constante que le médecin traitant est généralement enclin, en cas de doute, à prendre parti pour son patient en raison de la relation de confiance qui l’unit à ce dernier (ATF 135 V 465 consid. 4.5), ne sont pas étayés et ne contiennent aucun raisonnement médical. Il en va de même de la psychologue X.________ qui s’est en effet limitée à attester que l’état de santé psychologique du recourant était très fragilisé depuis 2011, celui-ci présentant des symptômes d’un état dépressif sévère sans autre explication. Elle a en outre renvoyé au Dr M.________ quant à la capacité de travail alors qu’elle avait attesté une</w:t>
      </w:r>
    </w:p>
    <w:p>
      <w:r>
        <w:t>- 17 - capacité de travail de 50 % dans son rapport du 14 septembre 2022 (cf. rapport du 24 avril 2024). cc) Enfin, l’argument du recourant selon lequel il ne saurait avoir une capacité de travail de 70 % alors qu’il n’avait pas pu atteindre une présence de 50 % lors de la mesure de réentraînement auprès de Y.________ ne convainc pas. En effet, le fait qu’il ait dû arrêter la mesure avant d’atteindre un taux de 50 % ne permet pas encore de prouver une incapacité de travail à 70 %, l’appréciation de la capacité de travail devant être faite par un médecin à qui incombe la tâche de porter un jugement sur l’état de santé et d’indiquer dans quelle mesure et pour quelles activités l’assuré est incapable de travailler (ATF 140 V 193 consid. 3.2 ;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9C_605/2020 du 19 juillet 2021 consid. 5.4 ; TF 8C_713/2019 du 12 août 2020 consid. 5.2 et la référence). A cet égard, on relèvera que l’experte avait connaissance de la situation d’échec vécue par le recourant lors de son stage ce qui n’a toutefois pas modifié son appréciation de la capacité de travail dans une activité adaptée. c) Il résulte de ce qui précède que les diagnostics retenus par la Dre Z.________ ainsi que son évaluation de la capacité de travail du recourant peuvent être confirmés. Ainsi, l’office intimé était fondé à retenir sur cette base une capacite de travail nulle dans l’activité habituelle et une capacité de travail de 70 % dans une activité adaptée compte tenu des limitations fonctionnelles du recourant, à savoir des troubles de la concentration et des difficultés relationnelles. 7. Dans son recours du 2 avril 2024, le recourant s’est étonné du fait que le montant de la rente d’invalidité était inférieur à celui qu’il percevait au titre de RI.</w:t>
      </w:r>
    </w:p>
    <w:p>
      <w:r>
        <w:t>- 18 - a) Conformément à l’art. 36 al. 2 LAI, les dispositions de la LAVS (loi fédérale du 20 décembre 1946 sur l’assurance-vieillesse et survivants ; RS 831.10) sont applicables par analogie au calcul des rentes ordinaires de l’assurance-invalidité. b)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2 LAVS). La durée de cotisation est réputée complète lorsqu’une personne présente le même nombre d’années de cotisations que les assurés de sa classe d’âge (art. 29ter al. 1 LAVS). c) Selon l’art. 29quater LAVS, la rente est également calculée en fonction du revenu annuel moyen. Celui-ci se compose notamment des revenus de l’activité lucrative (art. 29quater let. a LAVS) sur lesquels des cotisations ont été versées (art. 29quinquies al. 1 LAVS). Il est établi pour chaque assuré tenu de payer des cotisations des comptes individuels où sont portées les indications nécessaires au calcul des rentes ordinaires (art. 30ter al. 1 LAVS). La somme des revenus de l’activité lucrative doit être revalorisée en fonction de l’indice des rentes prévu à l’art. 33ter LAVS. L’Office fédéral des assurances sociales fixe chaque année les facteurs de revalorisation de la somme des revenus provenant de l’activité lucrative (art. 30 al. 1 LAVS et art. 51bis al. 1 RAVS [règlement du 31 octobre 1947 sur l’assurance-vieillesse et survivants ; RS 831.101]). Ce montant doit être divisé par le nombre d’années de cotisations (art. 30 al. 2 LAVS). d) En l’occurrence, ces critères ont été pris en compte (cf. décision du 16 février 2024) et le montant de la rente, que ce soit 1'034 fr. ou 1'060 fr., est supérieur au montant minimum d’une demi-rente ordinaire en 2019 (à savoir l’année où le droit à la rente doit être accordé [cf. consid. 9d infra]), soit 593 fr., le maximum étant fixé à 1'185 fr. (cf.</w:t>
      </w:r>
    </w:p>
    <w:p>
      <w:r>
        <w:t>- 19 - échelle 44 de la Table des rentes AVS/AI 2019, éditée par l’Office fédérale des assurances sociales [OFAS]). Pour le surplus, le recourant peut solliciter les prestations complémentaires en tant que rentier AI afin d’assurer la couverture de ses besoins vitaux (cf. art. 4 al. 1 let. a LPC [loi fédérale du 6 octobre 2006 sur les prestations complémentaires à l'AVS et à l'AI ; RS 831.30]). 8. Sur le plan économique, le recourant a plaidé qu’il n’avait aucune chance de trouver un emploi dans l’informatique avec un « trou » dans son parcours professionnel et compte tenu de son âge. a)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8C_240/2021 du 15 septembre 2021 consid. 3 et les références citées). Par ailleurs, s'il est vrai que des facteurs tels que l'âge, le manque de formation ou les difficultés linguistiques peuvent jouer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et la référence). Toutefois, lorsqu'il s'agit d'évaluer l'invalidité d'un assuré qui</w:t>
      </w:r>
    </w:p>
    <w:p>
      <w:r>
        <w:t>- 20 -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9C_497/2020 du 25 juin 2021 consid. 5.2.2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138 V 457 consid. 3.1 ; TF 9C_612/2007 du 14 juillet 2008 consid. 5.2). b) En l’espèce, le recourant, né le [...], était âgé de 56 ans au moment où il a été examiné par la Dre Z.________ en juin et juillet 2023. Ainsi, le recourant n’avait pas encore atteint l’âge à compter duquel la jurisprudence considère généralement qu’il n’existe plus de possibilité réaliste de mise en valeur de la capacité résiduelle de travail sur un marché du travail supposé équilibré (sur ce point, voir ATF 143 V 431 consid. 4.5.2). Le recourant s’est au demeurant formé seul et a travaillé pendant plus de dix ans en tant que technicien en informatique. Il parle en</w:t>
      </w:r>
    </w:p>
    <w:p>
      <w:r>
        <w:t>- 21 - outre quatre langues. On doit par ailleurs admettre que les limitations fonctionnelles retenues, à savoir des troubles de la concentration et des difficultés relationnelles, ne présentent pas de spécificités telles qu’elles rendraient illusoire l’exercice d’une activité professionnelle, étant rappelé que le marché du travail offre un large éventail d’activités légères, dont un certain nombre sont adaptées aux limitations du recourant et accessibles sans aucune formation particulière. Au regard de la liste des activités compatibles avec les limitations fonctionnelles du recourant établie par l’office intimé, à savoir un travail simple et dans le domaine industriel léger, par exemple montage, contrôle ou surveillance d’un processus de production et dans le domaine administratif en tant que collaborateur au service de scannage, il existe de réelles possibilités d’embauche sur le marché équilibré de l’emploi (à ce sujet, voir TF 9C_286/2015 du 12 janvier 2016 consid. 4.2 et les arrêts cités). De telles activités sont de surcroît, en règle générale, disponibles sur le marché équilibré du travail indépendamment de l'âge (TF 9C_695/2010 du 15 mars 2011 consid. 6.3 et les références citées). A la lumière de l’ensemble des éléments qui précèdent, c’est donc à juste titre que l’OAI a considéré qu’il était raisonnablement exigible du recourant qu’il retrouve une activité adaptée. 9. Il reste encore à déterminer le degré d’invalidité du recourant.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w:t>
      </w:r>
    </w:p>
    <w:p>
      <w:r>
        <w:t>- 22 -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- 23 -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On relèvera tout d’abord ici que le recourant a déploré le schématisme dont a fait preuve l’OAI dans le cadre de sa prise de décision. Toutefois, l’intimé est tenu d’appliquer la loi et se doit dès lors de faire preuve de schématisme dans le cadre du calcul des rentes. Le recourant a également relevé que son revenu avant invalidité se montait à 93'867 fr. 75 alors que l’OAI a retenu un montant de 46'204 fr. 72. Si le montant de 46'204 fr. 72 apparait bien dans le calcul du 23 octobre 2023 de l’OAI, il s’agit en réalité du revenu avec invalidité. Pour le reste, le recourant n’a émis aucune critique à l’encontre des calculs opérés par l’intimé qu’il convient toutefois de contrôler. Ce dernier a d’abord établi un calcul prenant en compte, pour le calcul du revenu sans invalidité, la moyenne de 2006 à 2010 du compte individuel du recourant et pour le revenu avec invalidité l’ESS 2018 (date du dépôt de la demande) TA1_skill level, tous secteurs d’activité confondus, niveau de compétence 1 pour un homme (cf. calcul du salaire exigible du 21 septembre 2023). Il a ensuite procédé à un nouveau calcul se basant toujours sur le même revenu sans invalidité mais en prenant en compte pour le revenu avec invalidité l’ESS 2020 indexé à 2022 dans la mesure où le recourant avait bénéficié de mesures jusqu’au 4 juillet 2022 (cf. compte rendu de la permanence juriste du 20 octobre 2023 et calcul du salaire exigible du 23 octobre 2023). Il a enfin fait un nouveau calcul valable dès le 1er janvier 2024 pour tenir compte d’une déduction de 10 % appliquée automatiquement sur le revenu avec invalidité fixé sur la base de l’ESS dans le cadre du développement continu de l’AI. Or, si le droit à la rente ne naît en effet pas tant que la personne assurée peut prétendre à une indemnité journalière selon l’art. 22 LAI (art. 29 al. 2 LAI), tel n’est pas le cas du recourant qui n’a touché aucune indemnité journalière pendant sa mesure de</w:t>
      </w:r>
    </w:p>
    <w:p>
      <w:r>
        <w:t>- 24 - réentraînement (cf. examen du droit à la rente du 15 novembre 2023) et pour qui un calcul se basant sur les critères de 2022 ne se justifie dès lors pas. De plus, le nouveau droit n’étant pas applicable dans le cas d’espèce (cf. consid. 2 supra), il n’y a pas de raison de procéder à un nouveau calcul au 1er janvier 2024. Il faut en conséquence en revenir au premier calcul effectué par l’OAI qui peut être validé dans la mesure où l’intimé a pris, à titre de revenu sans invalidité, la moyenne des revenus de 2006 à 2010 ressortant du compte individuel du recourant. S’agissant du revenu avec invalidité, si l’OAI a pris à juste titre le montant ressortant de l'ESS 2018, il aurait encore dû l’indexer à 2019, année au cours de laquelle le droit à la rente s’est ouvert (cf. art. 29 al. 1 LAI). Ainsi, le montant du revenu avec invalidité indexé à 2019 (+ 0.9 %) s'élève à 68'376 fr. 55 qu’il convient encore d’adapter à un horaire de 70 % avec une réduction de 10 % pour tenir compte de l’âge et du taux d’occupation. La comparaison des revenus avec et sans invalidité aboutit à un taux d'invalidité de 51,27 % ([88'410 fr. 80 – 43'077 fr. 20] : 88'410 fr. 80), ce qui ouvre toujours le droit à une demi-rente d’invalidité. S’agissant du point de départ de cette rente, le recourant a déposé une demande le 6 novembre 2018 qui est dès lors tardive (cf. art. 29 al. 1 LAI) puisque sa capacité de travail est restreinte depuis 2011 (cf. rapport du 18 août 2023 de la Dre Z.________). Partant, la rente d’invalidité est ainsi due à compter du sixième mois après le dépôt de la demande de prestations, soit dès le 6 mai 2019, reporté au 1er mai 2019 (art. 29 al. 3 LAI). 10. a) En définitive, le recours doit être partiellement admis et la décision attaquée réformée en ce sens que le recourant a droit à une demi-rente d’invalidité à compter du 1er mai 2019. b) La procédure de recours en matière de contestations portant sur des prestations de l’assurance-invalidité est soumise à des frais de justice (art. 69 al. 1bis LAI). Il convient de les fixer à 600 fr. et de les mettre à la charge de la partie intimée, vu l’issue du litige.</w:t>
      </w:r>
    </w:p>
    <w:p>
      <w:r>
        <w:t>- 25 - c) Il n’y a pas lieu d’allouer de dépens, la partie recourante ayant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