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ZD24.012997 vom 13. November 2024</w:t>
      </w:r>
    </w:p>
    <w:p>
      <w:r>
        <w:t>VD Tribunal cantonal, 2024-11-13, FR</w:t>
      </w:r>
    </w:p>
    <w:p>
      <w:r>
        <w:rPr>
          <w:b/>
        </w:rPr>
        <w:t xml:space="preserve">Quelle: </w:t>
      </w:r>
      <w:r>
        <w:t>https://mcp.opencaselaw.ch/entscheid/vd_gerichte_ZD24.012997</w:t>
      </w:r>
    </w:p>
    <w:p>
      <w:r>
        <w:t>FR: VD_GERICHTE ZD24.012997 du 13 novembre 2024</w:t>
      </w:r>
    </w:p>
    <w:p>
      <w:r>
        <w:t>IT: VD_GERICHTE ZD24.012997 del 13 novembre 2024</w:t>
      </w:r>
    </w:p>
    <w:p>
      <w:pPr>
        <w:pStyle w:val="Heading2"/>
      </w:pPr>
      <w:r>
        <w:t>Erwägungen</w:t>
      </w:r>
    </w:p>
    <w:p>
      <w:r>
        <w:rPr>
          <w:b/>
        </w:rPr>
        <w:t>E. 4</w:t>
      </w:r>
    </w:p>
    <w:p>
      <w:r>
        <w:t>a) Aux termes de l’art. 8 al. 1 LPGA, est réputée invalidité l’incapacité de gain totale ou partielle qui est présumée permanente ou de longue durée.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w:t>
      </w:r>
    </w:p>
    <w:p>
      <w:r>
        <w:t>- 11 - le droit à une mesure de reclassement est une diminution de la capacité de gain de 20 % environ (ATF 139 V 399 consid. 5.3). d) Selon l’art. 18 al. 1 LAI (dans sa teneur en vigueur au 31 décembre 2021), l’assuré présentant une incapacité de travail (art. 6 LPGA) et susceptible d’être réadapté a droit à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w:t>
      </w:r>
    </w:p>
    <w:p>
      <w:r>
        <w:rPr>
          <w:b/>
        </w:rPr>
        <w:t>E. 5</w:t>
      </w:r>
    </w:p>
    <w:p>
      <w:r>
        <w:t>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Le revenu effectivement réalisé par la</w:t>
      </w:r>
    </w:p>
    <w:p>
      <w:r>
        <w:t>- 12 -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- 13 -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w:t>
      </w:r>
    </w:p>
    <w:p>
      <w:r>
        <w:rPr>
          <w:b/>
        </w:rPr>
        <w:t>E. 6</w:t>
      </w:r>
    </w:p>
    <w:p>
      <w:r>
        <w:t>a) En l’occurrence, le recourant ne remet pas en cause le rapport d’expertise du T.________. Les conclusions des Drs S.________ et I.________ sont en effet convaincantes et dûment motivées. Les experts se sont prononcés en pleine connaissance du dossier, de l’anamnèse et des</w:t>
      </w:r>
    </w:p>
    <w:p>
      <w:r>
        <w:t>- 14 - plaintes du recourant, sur la base de l’examen détaillé auquel chacun d’eux a procédé. Leur rapport d’expertise peut dès lors se voir reconnaître une pleine valeur probante (cf. ATF 134 V 231 consid. 5.1 ; 125 V 351 consid. 3a ; TF 8C_510/2020 du 15 avril 2021 consid. 2.4). A l’issue de leur examen, les experts ont conclu à l’existence d’une totale incapacité de travail dans les activités habituelles de maçon et d’aide-cuisinier, mais à la présence, depuis décembre 2019, d’une pleine capacité de travail dans une activité adaptée, sans port de charges de plus de 10-15 kg de façon répétée, sans montée/descente d’échelles ou d’échafaudages, avec la possibilité d’alterner les positions assise et debout chaque heure, sans marche sur des terrains accidentés et en évitant de surcharger le rachis lombaire. Dans son avis du 6 juin 2023, le SMR a ajouté à ces limitations l’évitement des escaliers répétés et l’absence d’élévation du membre supérieur droit au-dessus de l’horizontale. A noter que les Drs M.________ et F.________ reconnaissaient également l’existence d’une pleine capacité de travail dans une activité adaptée dans leur rapports respectifs des 4 mai et 7 octobre 2022, et retenaient des limitations fonctionnelles globalement analogues à celles fixées par les experts et le SMR. b) Les limitations fonctionnelles du recourant ne présentent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L’office intimé a notamment mis en évidence que le recourant serait en mesure de mettre en valeur sa capacité résiduelle de travail dans une activité simple et répétitive dans le domaine industriel léger (par exemple : montage, contrôle ou surveillance d’un processus de production ; ouvrier à l’établi dans des activités simples et légère ; ouvrier dans le conditionnement). Le recourant n’apporte aucun élément qui permettrait de conclure qu’il ne pourrait pas exercer les activités</w:t>
      </w:r>
    </w:p>
    <w:p>
      <w:r>
        <w:t>- 15 - précitées. En outre, il n’est pas éloigné du marché du travail depuis 2013 comme il le soutient, puisqu’il a travaillé jusqu’en décembre 2019. Il a par ailleurs œuvré dans différents domaines professionnels et rien ne laisse à penser qu’il ne pourrait pas s’adapter à un nouveau poste. c) S’agissant du calcul du degré d’invalidité, le recourant ne remet pas en cause les termes de la comparaison des revenus effectuée par l’office intimé, mais uniquement l’abattement auquel il a procédé sur le salaire statistique retenu au titre de revenu d’invalide. Le revenu sans invalidité de 67'059 fr. 90, calculé sur la base du salaire horaire du recourant en tant que carreleur, indexé à l’année 2020, n’apparaît en effet pas critiquable. Le revenu d’invalide a, quant à lui, été fixé sur la base du revenu moyen touché en 2020 par les hommes exerçant des activités manuelles simples dans les secteurs des services et de la production selon l’ESS et se monte, avant l’application d’un abattement, à 65'815 fr. 11. L’OAI a admis qu’un abattement pouvait être fait sur ce revenu en raison des limitations fonctionnelles présentées par le recourant. Il l’a d’abord fixé à 5 % dans son projet de décision, puis à 10 % dans la décision litigieuse, à la suite des objections présentées par le recourant. Contrairement à ce que soutient le recourant, aucun abattement ne se justifie en relation avec son absence de formation professionnelle certifiée, puisque le niveau de compétence 1 de l'ESS, qui regroupe les activités auxquelles il est renvoyé, concerne une catégorie d'emplois ne nécessitant ni formation ni expérience professionnelle spécifique (TF 8C_103/2018 du 25 juillet 2018 consid. 5.2). Il en va de même de ses difficultés avec le français, qui restent sans influence dans une telle catégorie d’emplois (TF I 674/06 du 29 mai 2007 consid. 4.1.1). Par ailleurs, rien ne permet de conclure que l’âge du recourant, soit 46 ans au moment de la décision attaquée, puisse limiter les activités qui lui sont accessibles ou avoir un impact sur sa rémunération, le recourant se trouvant proche de l’âge moyen sur le marché de l’emploi, lequel se situe entre 40 et 45 ans (ATF 148 V 419 consid. 7.2 et les références). De surcroît, l'âge n'a pas forcément de répercussion négative sur les salaires visés par le niveau 1 de compétence des tableaux de l’ESS (TF</w:t>
      </w:r>
    </w:p>
    <w:p>
      <w:r>
        <w:t>- 16 - 9C_808/2019 du 18 août 2020 consid. 7.2 ; voir également ATF 146 V 16 consid. 7.2.1). Pour le reste, on ne voit pas, à la lumière de l'argumentation du recourant, que l'une ou l'autre circonstance pertinente aurait été ignorée ou, à tout le moins, appréciée de manière manifestement insoutenable. L’abattement de 10 % auquel l’OAI a procédé permet de tenir adéquatement compte des limitations fonctionnelles qui entravent objectivement le recourant dans ses postures et sa mobilité. Ses limitations fonctionnelles ne sont toutefois pas telles qu’elles justifieraient un abattement plus important. Il y a par conséquent lieu de confirmer le taux d’invalidité de 11,67 % – qu’il convient d’arrondir à 12 % – retenu par l’office intimé. d) Comme mentionné ci-dessus (consid. 4c), l’octroi d’une mesure de reclassement professionnel n’est envisageable que lorsque la perte de gain atteint 20 % minimum. Le taux d’invalidité de 12 % du recourant ne permet dès lors pas l’octroi d’une mesure de reclassement au sens de l’art. 17 LAI. Les rapports du Dr F.________ n’y changent rien. La situation médicale et personnelle du recourant a en effet dûment été prise en compte dans l’examen de son droit aux prestations, comme cela ressort des considérants qui précèdent. En outre, comme déjà mentionné, le recourant est renvoyé à des activités simples qui ne requièrent aucune formation si bien qu’un reclassement dans une nouvelle profession ne se justifierait pas non plus sous cet angle-là. Quant aux capacités d’adaptation au changement, d’attention, de concentration et la vivacité intellectuelle limitées que le médecin traitant atteste, elles n’apparaissent pas être d’une importance particulière dans la mesure où les experts du T.________ n’en ont pas fait mention et qu’elles n’ont pas empêché le recourant de s’installer dans un nouveau pays en 2013, puis d’y travailler dans deux domaines différents, d’abord comme carreleur, puis comme aide-cuisinier.</w:t>
      </w:r>
    </w:p>
    <w:p>
      <w:r>
        <w:t>- 17 - e) Cela étant, le recourant pourra bénéficier d’un accompagnement pour revenir sur le marché de l’emploi, dans le cadre de l’aide au placement. L’OAI ne conteste en effet pas que le recourant peut prétendre à une telle mesure. Dans le courrier du 4 janvier 2021, le service de placement de l’OAI l’avait d’ailleurs informé de la possibilité de solliciter une telle mesure dès qu’il s’estimerait capable de travailler dans une activité respectant ses limitations. Il convient par conséquent de transmettre le dossier à l’OAI afin qu’il mette en place une mesure d’aide au placement en faveur du recourant.</w:t>
      </w:r>
    </w:p>
    <w:p>
      <w:r>
        <w:rPr>
          <w:b/>
        </w:rPr>
        <w:t>E. 7</w:t>
      </w:r>
    </w:p>
    <w:p>
      <w:r>
        <w:t>a) Le recours doit dès lors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