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ZD24.011977 vom 1. Oktober 2025</w:t>
      </w:r>
    </w:p>
    <w:p>
      <w:r>
        <w:t>VD Tribunal cantonal, 2025-10-01, FR</w:t>
      </w:r>
    </w:p>
    <w:p>
      <w:r>
        <w:rPr>
          <w:b/>
        </w:rPr>
        <w:t xml:space="preserve">Quelle: </w:t>
      </w:r>
      <w:r>
        <w:t>https://mcp.opencaselaw.ch/entscheid/vd_gerichte_ZD24.011977</w:t>
      </w:r>
    </w:p>
    <w:p>
      <w:r>
        <w:t>FR: VD_GERICHTE ZD24.011977 du 1 octobre 2025</w:t>
      </w:r>
    </w:p>
    <w:p>
      <w:r>
        <w:t>IT: VD_GERICHTE ZD24.011977 del 1 ottobre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- 9 -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- 10 -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w:t>
      </w:r>
    </w:p>
    <w:p>
      <w:r>
        <w:t>- 11 -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En l’espèce, par décision du 9 février 2024, l’intimé a refusé de prester en faveur de la recourante. Il s’est, à ce titre, fondé sur l’expertise du 11 août 2023 du centre d'expertises R.________. Selon cette dernière, la recourante présentait les diagnostics de bursite sous acromiale et tendinopathie d’insertion de la coiffe à l’épaule gauche, de cervicalgies sur cervicarthrose débutante aux vertèbres C4-C6 et uncarthrose débutante aux vertèbres C5-C6 bilatérale sans signe de compression radiculaire, de lombalgies chroniques sur discopathie aux vertèbres L4-S1 sans conflit discoradiculaire, de diarrhée, stéatorrhées récurrentes post-prandiales, épisodes de malaise avec hypotension artérielle et possibles épisodes d’hypoglycémies peu symptomatiques dans le cadre d’un dumping syndrome précoce et tardif évoluant depuis la chirurgie bariatrique bypass réalisée en 2014, de céphalées de tension, de trouble anxieux et dépressif mixte et de tabagisme actif. Ces atteintes n’avaient toutefois aucun impact sur sa capacité de travail dans une activité adaptée aux limitations fonctionnelles d’ordre orthopédique, soit une activité proscrivant le port des charges supérieures à 10 kg de manière répétée et le travail en hauteur, étant précisé que l’activité habituelle constituait une telle activité adaptée. La recourante conteste, elle, la valeur probante de cette expertise, soutenant qu’elle ne tenait pas compte de l’ensemble du dossier médical et était lacunaire et contradictoire sur plusieurs points.</w:t>
      </w:r>
    </w:p>
    <w:p>
      <w:r>
        <w:t>- 12 - b) Cela étant, on ne saurait adhérer aux conclusions de l’expertise précitée pour les raisons suivantes. aa) En premier lieu, les experts du centre d'expertises R.________ ont estimé que la capacité de travail de la recourante – dans toute activité – était entière, et ce depuis toujours. Or celle-ci a été victime d’un accident de la route en date du 7 septembre 2019. Les médecins traitants, en particulier les Drs P.________ et W.________, ont attesté, à la suite de cet événement, une incapacité de travail fluctuant entre 100 % et 50 %, compte tenu de la présence notamment de cervicalgies et de lombalgies, mais aussi d’un épisode dépressif moyen. Dès lors, à défaut d’une analyse précise de l’évolution de la capacité de travail de la recourante et d’une prise de position claire sur les raisons pour lesquelles l’évaluation des médecins susmentionnés n’était pas crédible, les conclusions des experts ne peuvent être suivies, étant rappelé que ces derniers étaient tenus d’examiner de manière circonstanciée les points litigieux (cf. supra consid. 4c). bb) Il subsiste en outre des divergences quant à la nature de l’activité habituelle de la recourante retenue par les experts. Ainsi, sous le point relatif au motif et circonstance de l’expertise, il est noté que l’assurée travaillait habituellement en tant que secrétaire comptable. Dans l’évaluation consensuelle, il est en revanche fait état – à juste titre – d’une activité habituelle d’employée de crèche, à savoir l’activité qu’elle exerçait juste avant son accident de 2019. Le Dr H.________ retient une activité d’assistante éducative à la crèche ou une activité de bureau et, le Dr D.________, une activité d’employée de crèche. Les Drs U.________ et O.________, pour leur part, n’ont pas expressément précisé le type d’emploi qu’ils considéraient comme l’activité habituelle de la recourante. Partant, dès lors que les experts ont fondé leur évaluation de la capacité de travail dans ladite activité en tenant compte chacun d’activités différentes, leurs conclusions consensuelles sur ce point sont sujettes à caution. Cette irrégularité est d’autant plus problématique qu’il n’est pas certain qu’une activité en crèche, laquelle peut se révéler exigeante sur le plan physique, est compatible avec les seules limitations fonctionnelles retenues – par la</w:t>
      </w:r>
    </w:p>
    <w:p>
      <w:r>
        <w:t>- 13 - Dre O.________ –, soit l’interdiction du port répété de charges supérieures à</w:t>
      </w:r>
    </w:p>
    <w:p>
      <w:r>
        <w:rPr>
          <w:b/>
        </w:rPr>
        <w:t>E. 10</w:t>
      </w:r>
    </w:p>
    <w:p>
      <w:r>
        <w:t>kg et du travail en hauteur. cc) S’agissant du volet orthopédique de l’expertise, la Dre O.________ a retenu les diagnostics de bursite sous acromiale et tendinopathie d’insertion de la coiffe à l’épaule gauche, de cervicalgies sur cervicarthrose débutante aux vertèbres C4-C6 et uncarthrose débutante aux vertèbres C5-C6 bilatérale sans signe de compression radiculaire et de lombalgies chroniques sur discopathie aux vertèbres L4-S1 sans conflit discoradiculaire. Pour motiver ces diagnostics, elle s’est cependant contentée de renvoyer simplement – sans autre précision – à des résultats d’imagerie recueillis pour l’occasion, à savoir un rapport d’échographie de l’épaule gauche du 15 juin 2023, un rapport d’IRM (imagerie par résonance magnétique) cervicale du 20 juin 2023 et un rapport d’IRM de la colonne lombaire et des sacro-iliaques du 26 juin 2023, sans faire de parallèle avec son propre examen clinique. Elle ne s’est de la sorte pas prononcée sur les nombreux rapports établis par la Clinique de chirurgie orthopédique de l’hôpital G.________, lesquels mettaient pourtant en évidence des discopathies dégénératives débutant déjà aux vertèbres C3- C4 et L3-L4. L’experte n’a de surcroît pas spécifié les diagnostics qu’elle considérait comme incapacitants, étant précisé qu’elle a retenu des limitations fonctionnelles. Certes, elle a mentionné que les douleurs décrites au niveau de l’épaule gauche étaient dues à la bursite, laquelle était souvent à l’origine d’un tableau très algique avec irradiation cervicale, de sorte qu’on peut présumer que cette atteinte est invalidante. Rien dans le volet orthopédique ne permet toutefois d’arriver à cette même conclusion pour les deux autres troubles diagnostiqués. Au demeurant, la Dre O.________ n’a nullement fait part des motifs pour lesquels elle a décidé d’écarter les nombreuses limitations fonctionnelles d’ordre somatique observées par le Dr P.________ dans son rapport du 28 mai 2021 notamment, soit des limitations – considérablement incapacitantes – liées aux actes de s’asseoir, de se tenir debout, de marcher, de s’agenouiller, ramper ou s’accroupir, de travailler le dos courbé, d’effectuer des mouvements fréquents de torsion ou de flexion et de tendre ou lever les bras.</w:t>
      </w:r>
    </w:p>
    <w:p>
      <w:r>
        <w:t>- 14 - dd) Enfin, en ce qui concerne le volet psychiatrique de l’expertise, le Dr U.________ a fait état du diagnostic – sans incidence sur la capacité de travail – de trouble anxieux et dépressif mixte. Il a en revanche exclu celui d’épisode dépressif de moyenne intensité posé par le Dr W.________. Pour justifier son appréciation, il a notamment soutenu que le traitement médicamenteux pris par la recourante ne comporterait pas d’antidépresseur. Or il ressort du volet orthopédique de l’expertise que celle-ci bénéficiait bel et bien d’un traitement d’antidépresseur, avec la prescription de Déprévita (recte : Deprivita). L’analyse diagnostique réalisée par l’expert psychiatre est donc lacunaire, si bien qu’elle ne saurait être suivie. Par ailleurs, dans son rapport du 24 juin 2022, le Dr W.________ a indiqué voir la recourante trois à quatre fois par semaine. Cet élément ne ressort cependant pas du rapport d’expertise, le Dr U.________ s’étant contenté des déclarations de l’assurée selon lesquelles elle consultait toutes les deux semaines son psychiatre traitant au moment de l’expertise. Il appartenait de ce fait à l’expert psychiatre d’investiguer les raisons qui avaient conduit à un tel espacement des rendez-vous en une année. Faute de s’être penché sur ce point, son examen s’avère incomplet. c) Par conséquent, au regard de ce qui précède, force est de constater que l’expertise du 11 août 2023 du centre d'expertises R.________ ne remplit pas les réquisits jurisprudentiels pour se voir reconnaître une pleine valeur probante (cf. supra consid. 4c). 6.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9C_149/2025 du 5 août 2025 consid. 2.3). Si elle estime que l'état de fait déterminant n'est pas suffisamment établi, ou qu'il existe des doutes sérieux quant à la</w:t>
      </w:r>
    </w:p>
    <w:p>
      <w:r>
        <w:t>- 15 - valeur probante des éléments recueillis, l'administration doit mettre en œuvre les mesures nécessaires au complément de l'instruction (ATF 132 V 93 consid. 6.4).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En l’occurrence, dans la mesure où l’expertise du 11 août 2023 doit être écartée, il s’impose d’annuler la décision du 9 février 2024 et de renvoyer la cause à l’intimé pour instruction complémentaire, les autres pièces au dossier, en particulier les divers rapports des médecins traitants, ne permettant en effet pas d’arrêter la situation médicale globale de la recourante. Il reviendra d’abord à cette autorité de compléter le dossier en recueillant des rapports à jour auprès des médecins traitants, puis de mettre en œuvre une expertise pluridisciplinaire avec volets en orthopédie, en rhumatologie, en médecine interne et en psychiatre, afin de clarifier les atteintes dont souffre l’assurée et leurs effets sur sa capacité de travail passée et future. 7. a) La recourante conteste également la décision incidente de</w:t>
      </w:r>
    </w:p>
    <w:p>
      <w:r>
        <w:rPr>
          <w:b/>
        </w:rPr>
        <w:t>E. 13</w:t>
      </w:r>
    </w:p>
    <w:p>
      <w:r>
        <w:t>février 2024 de l’intimé lui refusant l’assistance juridique gratuite pour la procédure administrative. b) D’après l’art. 37 al. 4 LPGA, l’assistance gratuite d’un conseil juridique est accordée au demandeur lorsque les circonstances</w:t>
      </w:r>
    </w:p>
    <w:p>
      <w:r>
        <w:t>- 16 -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 cet égard, il y a lieu de tenir compte des circonstances du cas d’espèce, de la particularité des règles de procédure applicables, ainsi que des spécificités de la procédure administrative en cours ; en particulier, il faut mentionner, en plus de la complexité des questions de droit et de l’état de fait, les circonstances qui tiennent à la personne concernée, comme sa capacité de s’orienter dans une procédure (TF 8C_180/2022 du 28 octobre 2022 consid. 2.2 et les références). c) En l’espèce, la recourante estime qu’il lui était nécessaire de faire appel à un avocat, compte tenu du fait que l’expertise pluridisciplinaire du centre d'expertises R.________ faisait soixante-sept pages et que le dossier comportait plusieurs rapports médicaux en allemand et en français, ce qui rendait sa compréhension plus compliquée. On ne saurait toutefois la suivre. En effet, il n’est pas inhabituel pour un dossier d’assurance-invalidité de comporter un rapport d’expertise pluridisciplinaire de plusieurs dizaines de pages. Il apparaît en outre que la recourante possède de bonnes notions d’allemand, comme cela ressort du volet orthopédique du rapport d’expertise, mais également d’autres pièces au dossier, telles que le contrat de travail qu’elle a conclu le 10 juillet 2019 avec son dernier employeur et le certificat de travail établi par celui- ci le 11 octobre 2019, lesquels sont tous les deux rédigés dans cette langue. L’ensemble des rapports de son psychiatre traitant sont également formulés en allemand. Partant, le seul fait que des pièces au dossier aient été établies dans cette langue ne permet pas de retenir que l’assistance d’un avocat était nécessaire dans le cadre de la procédure devant l’intimé. d) Dès lors, au vu des précédentes considérations, c’est à juste titre que l’intimé a estimé que la complexité de l’affaire n’était pas</w:t>
      </w:r>
    </w:p>
    <w:p>
      <w:r>
        <w:t>- 17 - telle que l’assistance gratuite d’un conseil juridique fût nécessaire. Il n’a par conséquent pas violé l’art. 37 al. 4 LPGA en refusant de désigner un avocat d’office à la recourante. L’assistance juridique en procédure administrative n’étant objectivement pas exigée, il n’y pas lieu d’examiner plus avant les autres conditions posées par cette disposition. 8. a) En définitive, le recours doit être admis en tant qu’il porte sur la décision rendue le 9 février 2024 par l’intimé, cette dernière étant annulée et la cause renvoyée à cette autorité pour complément d’instruction dans le sens des considérants, puis nouvelle décision. Il doit en revanche être rejeté en tant qu’il porte sur la décision incidente du 13 février 2024 refusant l’assistance juridique gratuite, cette dernière étant confirmée. b) La procédure de recours en matière de contestations portant sur des prestations de l’assurance-invalidité est soumise à des frais de justice (art. 69 al. 1bis LAI). Il convient de les fixer à 600 fr. et de les mettre à la charge de la partie intimée, vu l’issue du litige (cf. TF 9C_65/2024 du 12 août 2024 consid. 4.3). c) La partie recourante obtient partiellement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Par décision du 18 mars 2024 du juge instructeur, la partie recourante a été mise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