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ZD24.011972 vom 25. November 2024</w:t>
      </w:r>
    </w:p>
    <w:p>
      <w:r>
        <w:t>VD Tribunal cantonal, 2024-11-25, FR</w:t>
      </w:r>
    </w:p>
    <w:p>
      <w:r>
        <w:rPr>
          <w:b/>
        </w:rPr>
        <w:t xml:space="preserve">Quelle: </w:t>
      </w:r>
      <w:r>
        <w:t>https://mcp.opencaselaw.ch/entscheid/vd_gerichte_ZD24.011972</w:t>
      </w:r>
    </w:p>
    <w:p>
      <w:r>
        <w:t>FR: VD_GERICHTE ZD24.011972 du 25 novembre 2024</w:t>
      </w:r>
    </w:p>
    <w:p>
      <w:r>
        <w:t>IT: VD_GERICHTE ZD24.011972 del 25 novembre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w:t>
      </w:r>
    </w:p>
    <w:p>
      <w:r>
        <w:t>- 9 - 50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 jurisprudence a précisé que l'art. 29bis RAI est applicable seulement au calcul de la période d'attente selon l'art. 28 al. 1 let. b LAI, mais pas à la détermination de la période d'attente selon l'art. 29 al. 1 LAI. Ainsi, en cas de nouvelle demande de rente, le délai de six mois prévu à l’art. 29 al. 1 LAI doit être respecté, celui-ci étant de nature procédurale (ATF 142 V 547 consid. 3). d) Aux termes de l’art. 88a al. 1 RAI, si la capacité de gain ou la capacité d’accomplir les travaux habituels de l’assuré s’améliore, ce changement n’est déterminant pour la suppression de tout ou partie du droit aux prestations qu’à partir du moment où on peut s’attendre à ce</w:t>
      </w:r>
    </w:p>
    <w:p>
      <w:r>
        <w:t>- 10 - que l’amélioration constatée se maintienne durant une assez longue période. Il en va de même lorsqu’un tel changement déterminant a duré trois mois déjà, sans interruption notable et sans qu’une complication prochaine ne soit à craindre.</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 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w:t>
      </w:r>
    </w:p>
    <w:p>
      <w:r>
        <w:t>- 11 - b) aa) Aux termes de l’art. 15 LAI,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bb)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cc)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dd) Aux termes de l’art. 18 LAI,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- 12 -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143 V 124 consid. 2.2.2 ; 134 V 231 consid. 5.1 ; 125 V 351 consid. 3a ; TF 8C_21/2024 du 24 juin 2024 consid. 5.2).</w:t>
      </w:r>
    </w:p>
    <w:p>
      <w:r>
        <w:rPr>
          <w:b/>
        </w:rPr>
        <w:t>E. 6</w:t>
      </w:r>
    </w:p>
    <w:p>
      <w:r>
        <w:t>a) En l’espèce, l’office intimé a, par décision du 19 février 2024, rejeté la demande de mesures professionnelles et de rente d’invalidité au motif que bien que le recourant avait présenté une diminution de sa capacité de travail depuis juillet 2020 et que le droit à la rente était théoriquement ouvert à l’échéance du délai d’attente d’une année, en juillet 2021, il avait toutefois déposé sa demande le 24 mars 2022, si bien que le droit éventuel à la rente n’était ouvert que dès le 1er septembre 2022. Or, à cette date, une pleine capacité de travail était retenue dans une activité dans le domaine de l’architecture ou de l’ingénierie ainsi que dans toute activité professionnelle, si bien que le recourant ne présentait pas de préjudice économique.</w:t>
      </w:r>
    </w:p>
    <w:p>
      <w:r>
        <w:t>- 13 - b) En l’occurrence, il n’est pas contesté que le recourant a présenté une incapacité totale de travailler à compter du mois de juillet 2020, avant de recouvrer une capacité de travail complète qui lui a permis de reprendre ses études d’architecture à compter du mois de septembre 2022. Après les deux premiers épisodes dépressifs qui s’étaient résolus spontanément, le recourant a présenté une troisième dégradation de son état de santé psychique en juillet 2020. Il a été hospitalisé à trois reprises entre novembre 2020 et mai 2022 en milieu psychiatrique (rapports des 21 décembre 2021 et 30 juin 2022 des médecins du Service de psychiatrie générale du [...], site de [...] ; rapport du 7 décembre 2021 des médecins du Q.________). Dans son rapport du 6 février 2023, le Dr C.________ a indiqué que le recourant avait présenté une capacité de travail nulle jusqu’au 30 juin 2022, de 50 % de juillet à août 2022, puis totale dès le 1er septembre 2022. Au vu de la stabilisation de son état de santé au sortir de l’été, le recourant avait mis fin à son traitement pharmacologique depuis novembre 2022. c) L’office intimé a violé le droit fédéral en refusant d’emblée le droit du recourant à une rente et à des mesures d’ordre professionnel, au motif que les conditions fixées par la loi pour l’octroi de ces prestations n’étaient pas réalisées. Le recourant peut théoriquement prétendre à une rente entière d’invalidité depuis le 1er juillet 2021 (après avoir présenté une incapacité de travail d’au moins 40 % en moyenne durant une année sans interruption notable [art. 28 al. 1 let. b LAI]) jusqu’au 30 novembre 2022 (soit trois mois après l’amélioration de son état de santé [art. 88a al. 1 RAI]). Dans la mesure toutefois où il a déposé une demande tardive (le 24 mars 2022), le droit à la rente ne prend naissance effectivement que six mois après le dépôt de sa demande, soit à compter du 1er septembre 2022 (art. 29 al. 1 et 3 RAI). Il s’ensuit que le recourant peut prétendre à une demi-rente – limitée dans le temps – pour la période courant du 1er septembre au 30 novembre 2022. d) Il convient ensuite de retenir que la péjoration – non contestée – de l’état de santé psychique du recourant survenue entre la</w:t>
      </w:r>
    </w:p>
    <w:p>
      <w:r>
        <w:t>- 14 - fin du mois de janvier et le début du mois de février 2024, laquelle a conduit à un PLAFA, entraîne, conformément à l’art. 29bis RAI, la reprise de l’invalidité et du versement de la rente simultanément à la survenance de la nouvelle incapacité de travail, soit à compter du 1er février 2024. Il y a lieu de préciser que le délai de carence de l’art. 29 al. 1 LAI n’est pas applicable dans le cas d’espèce (cf. ATF 142 V 547), en l’absence du dépôt formel d’une nouvelle demande de prestations.</w:t>
      </w:r>
    </w:p>
    <w:p>
      <w:r>
        <w:rPr>
          <w:b/>
        </w:rPr>
        <w:t>E. 7</w:t>
      </w:r>
    </w:p>
    <w:p>
      <w:r>
        <w:t>S’agissant au surplus de la mise en œuvre de mesures d’ordre professionnel, on ne voit pas laquelle pourrait être proposée au recourant pour permettre de réduire son préjudice économique au vu de son état de santé psychique actuel.</w:t>
      </w:r>
    </w:p>
    <w:p>
      <w:r>
        <w:rPr>
          <w:b/>
        </w:rPr>
        <w:t>E. 8</w:t>
      </w:r>
    </w:p>
    <w:p>
      <w:r>
        <w:t>a) En définitive, le recours doit être admis et la décision litigieuse réformée, en ce sens que le recourant a droit à une demi-rente d’invalidité du 1er septembre au 30 novembre 2022 et à une rente entière à compter du 1er février 2024.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Dès lors que seul l’avocat désigné comme curateur ou tuteur qui mène avec succès le procès de son pupille peut prétendre à des dépens (ATF 124 V 338 consid. 4 et la référence), le Service des curatelles et tutelles professionnelles n’a pas droit à l’allocation de dépens pour la défense des intérêts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