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ZD24.011184 vom 20. November 2024</w:t>
      </w:r>
    </w:p>
    <w:p>
      <w:r>
        <w:t>VD Tribunal cantonal, 2024-11-20, FR</w:t>
      </w:r>
    </w:p>
    <w:p>
      <w:r>
        <w:rPr>
          <w:b/>
        </w:rPr>
        <w:t xml:space="preserve">Quelle: </w:t>
      </w:r>
      <w:r>
        <w:t>https://mcp.opencaselaw.ch/entscheid/vd_gerichte_ZD24.011184</w:t>
      </w:r>
    </w:p>
    <w:p>
      <w:r>
        <w:t>FR: VD_GERICHTE ZD24.011184 du 20 novembre 2024</w:t>
      </w:r>
    </w:p>
    <w:p>
      <w:r>
        <w:t>IT: VD_GERICHTE ZD24.011184 del 20 novembre 2024</w:t>
      </w:r>
    </w:p>
    <w:p>
      <w:pPr>
        <w:pStyle w:val="Heading2"/>
      </w:pPr>
      <w:r>
        <w:t>Erwägungen</w:t>
      </w:r>
    </w:p>
    <w:p>
      <w:r>
        <w:rPr>
          <w:b/>
        </w:rPr>
        <w:t>E. 1</w:t>
      </w:r>
    </w:p>
    <w:p>
      <w:r>
        <w:t>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d’arrondissement de [...] qui l’a transmis d’office au tribunal de céans compétent (art. 20 al. 2 LPA-VD ;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rentes complémentaires pour enfants avant novembre 2018.</w:t>
      </w:r>
    </w:p>
    <w:p>
      <w:r>
        <w:rPr>
          <w:b/>
        </w:rPr>
        <w:t>E. 3</w:t>
      </w:r>
    </w:p>
    <w:p>
      <w:r>
        <w:t>a) Aux termes de l’art. 35 al. 1 LAI,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 RS 831.10]). Le droit à une rente d’orphelin prend naissance le premier jour du mois</w:t>
      </w:r>
    </w:p>
    <w:p>
      <w:r>
        <w:t>- 8 - suivant le décès du père ou de la mère ; il s’éteint au 18e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b)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Selon l’art. 65 RAI (règlement du 17 janvier 1961 sur l’assurance-invalidité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c) L'annonce à l'assureur social permet en principe également de préserver le délai de l'art. 24 al. 1 LPGA, selon lequel le droit à des</w:t>
      </w:r>
    </w:p>
    <w:p>
      <w:r>
        <w:t>- 9 -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et les références).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(ATF 121 V 195 consid. 5c et 5d ; TF 8C_624/2021 du 1er juin 2022 consid 4.2.3 ; TF 9C_574/2008 du 27 mars 2009 consid. 2.2). d)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w:t>
      </w:r>
    </w:p>
    <w:p>
      <w:r>
        <w:t>- 10 -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w:t>
      </w:r>
    </w:p>
    <w:p>
      <w:r>
        <w:t>- 11 - (ATF 131 V 472 consid. 5 ; ATF 131 II 627 consid. 6.1 et les références citées ; TF 8C_433/2014 du 16 juillet 2015 consid. 3). e) Aux termes de l’art. 31 al. 1 LPGA, l’ayant droit, ses proches ou les tiers auxquels une prestation est versée sont tenus de communiquer à l’assureur ou, selon le cas, à l’organe compétent toute modification importante des circonstances déterminantes pour l’octroi d’une prestation. L’obligation de l’assuré de communiquer à l’office AI tout changement important qui peut avoir des répercussions sur le droit aux prestations, en particulier les changements qui concernent sa situation personnelle, est également prévue à l’art. 77 RAI. Cette obligation de renseigner est l’expression du principe de la bonne foi entre administration et administré. Pour qu’il y ait violation de l’obligation de renseigner, il faut qu’il y ait un comportement fautif ; une légère négligence suffit déjà (ATF 140 IV 11 consid. 2.4.5 et les références).</w:t>
      </w:r>
    </w:p>
    <w:p>
      <w:r>
        <w:rPr>
          <w:b/>
        </w:rPr>
        <w:t>E. 4</w:t>
      </w:r>
    </w:p>
    <w:p>
      <w:r>
        <w:t>Compte tenu de l’art. 24 al. 1 LPGA et des principes jurisprudentiels relatifs à cette disposition (cf. consid. 3c supra), le paiement des rentes complémentaires pour enfants sollicitées par la recourante sont soumises à un délai de péremption absolu de cinq ans, comme l’a retenu à juste titre l’intimé. Les arguments invoqués par la recourante pour soutenir le contraire ne permettent pas de faire un autre constat. Elle soutient en substance avoir annoncé en 2013 l’existence de ces deux enfants, de sorte que l’intimé aurait dû à l’époque lui reconnaître le droit aux prestations litigieuses ou aurait dû l’interpeller à ce sujet s’il estimait que l’annonce n’était pas suffisamment claire compte tenu du devoir d’information de l’Office AI. Il sied de relever à cet égard que lors de l’octroi initial de la demi-rente d’invalidité en 2001, la recourante avait été informée de la nécessité d’indiquer immédiatement toute naissance à la Caisse de compensation qui était en charge du calcul du montant de la rente. Le</w:t>
      </w:r>
    </w:p>
    <w:p>
      <w:r>
        <w:t>- 12 - devoir de signaler tout changement de sa situation personnelle et familiale lui a par la suite été régulièrement rappelé lors des procédures de révision d’office initiées par l’intimé. Ainsi, dans la décision du 22 avril 2005, l’Office AI avait attiré son attention sur son obligation de communiquer notamment toute naissance, en l’avertissant des conséquences que le non-respect de ce devoir pourrait avoir. A l’issue des procédures ultérieures de révision d’office du droit à la rente, l’intimé a de nouveau rappelé à la recourante son obligation de renseigner, notamment sur toute naissance, en attirant son attention sur le fait que ses prestations pourraient être réduites, refusées et exigées en retour en cas de manquement à l’obligation de communiquer (communications des 24 novembre 2008 et 3 mars 2014). Il ressort de ce qui précède que l’intimé a informé la recourante non seulement sur son devoir d’annoncer toute naissance d’enfants à la Caisse de compensation mais aussi sur l’importance de cet avis sur son droit aux prestations. Si la recourante a signalé en temps utile son mariage ainsi que ses changements de domicile et de comptes bancaires à l’intimé, tel n’a pas été le cas des naissances de ses enfants. Ce n’est qu’en novembre 2013, à l’occasion d’une procédure de révision d’office initiée par l’intimé, qu’elle a mentionné avoir deux enfants en bas âge pour expliquer pourquoi elle ne travaillait pas. En omettant d’annoncer spontanément et en temps utile la naissance de ses enfants, la recourante a violé plusieurs fois son devoir de renseigner et ne saurait se prévaloir de sa bonne foi. Quant à la question de savoir si l’intimé aurait dû constater un changement de la situation personnelle de la recourante propre à influencer son droit aux prestations sur la base du formulaire de détermination du statut du 7 novembre 2013 et des autres pièces recueillies dans le cadre de la procédure de révision de rente initiée à l’époque, elle peut rester ouverte. En effet, même dans l’hypothèse où l’indication des enfants dans ce formulaire aurait dû être considérée comme une demande de prestations comme le soutient la recourante, le délai de péremption de cinq ans commencerait de toute manière à courir à compter de la dernière demande de prestations, compte tenu de la jurisprudence relative à l’art. 24 al. 1 LPGA (cf. consid. 3c supra) qui</w:t>
      </w:r>
    </w:p>
    <w:p>
      <w:r>
        <w:t>- 13 - prévoit que ce délai s’applique même si l’administration a omis fautivement de donner suite à une demande initiale de prestations qui était bien fondée. Au vu de ce qui précède, on ne saurait reprocher à l’intimé d’avoir fait application de l’art. 24 al. 1 LPGA.</w:t>
      </w:r>
    </w:p>
    <w:p>
      <w:r>
        <w:rPr>
          <w:b/>
        </w:rPr>
        <w:t>E. 5</w:t>
      </w:r>
    </w:p>
    <w:p>
      <w:r>
        <w:t>En définitive, le recours, mal fondé,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