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ZD24.009855 vom 24. April 2026</w:t>
      </w:r>
    </w:p>
    <w:p>
      <w:r>
        <w:t>VD Tribunal cantonal, 2026-04-24, FR</w:t>
      </w:r>
    </w:p>
    <w:p>
      <w:r>
        <w:rPr>
          <w:b/>
        </w:rPr>
        <w:t xml:space="preserve">Quelle: </w:t>
      </w:r>
      <w:r>
        <w:t>https://mcp.opencaselaw.ch/entscheid/vd_gerichte_ZD24.009855</w:t>
      </w:r>
    </w:p>
    <w:p>
      <w:r>
        <w:t>FR: VD_GERICHTE ZD24.009855 du 24 avril 2026</w:t>
      </w:r>
    </w:p>
    <w:p>
      <w:r>
        <w:t>IT: VD_GERICHTE ZD24.009855 del 24 aprile 2026</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10J010</w:t>
      </w:r>
    </w:p>
    <w:p>
      <w:r>
        <w:t>- 8 -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10J010</w:t>
      </w:r>
    </w:p>
    <w:p>
      <w:r>
        <w:t>- 9 - déterminant pour la valeur probante, n’est ni l’origine du moyen de preuve, ni sa désignation comme rapport ou comme expertise, mais bel et bien son contenu (ATF 134 V 231 consid. 5.1 ; 125 V 351 consid. 3a ; TF 8C_71/2024 du 30 août 2024 consid. 3.3).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8C_509/2024 du 28 janvier 2025 consid. 3.2 ; TF 8C_231/2024 du 3 décembre 2024 consid. 2.2).</w:t>
      </w:r>
    </w:p>
    <w:p>
      <w:r>
        <w:rPr>
          <w:b/>
        </w:rPr>
        <w:t>E. 6</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7</w:t>
      </w:r>
    </w:p>
    <w:p>
      <w:r>
        <w:t>a) Se considérant insuffisamment renseigné pour trancher l’affaire en toute connaissance de cause, le magistrat instructeur a ordonné la mise en œuvre d’une expertise psychiatrique dont il a confié la réalisation à la Dre P.________. 10J010</w:t>
      </w:r>
    </w:p>
    <w:p>
      <w:r>
        <w:t>- 10 - b) Il n’y a pas lieu de s’écarter des conclusions convaincantes de l’expertise judiciaire psychiatrique, lesquelles ne sont d’ailleurs contestées par aucune des parties. c) Sur le plan formel, le rapport d’expertise du 21 octobre 2025 remplit toutes les exigences auxquelles la jurisprudence soumet la valeur probante d’un tel document. La Dre P.________ a rendu son rapport sur la base d’une anamnèse circonstanciée (personnelle, familiale, sociale et affective), en tenant compte de l’ensemble de la documentation médicale au dossier, des plaintes exprimées par la recourante, de ses antécédents et du déroulement de sa journée-type. Elle a de surcroit correspondu avec le Dr G.________ et a demandé qu’une évaluation neuropsychologique soit effectuée. Ayant procédé à un examen clinique détaillé, rencontrant la recourante à quatre reprises, elle a discuté en détail le diagnostic retenu, tout en exposant les raisons pour lesquelles elle avait écarté les diagnostics posés par les Drs J.________ et E.________. Les conclusions expertales, reposant sur une description du contexte médical, sont dûment motivées, claires et exemptes de contradictions. d) aa) Rendant compte de l’examen clinique effectué par ses soins, la Dre P.________ a relevé que le discours était globalement cohérent, mais très pauvre, répétitif, peu fiable, souvent très évasif et flou, changeant d’un entretien à l’autre dans certaines informations données ; l’expression et l’élocution étaient laborieuses ; le ton était monocorde et le contenu des propos tenus par l’assurée se caractérisait principalement par des plaintes au sujet de son état de santé physique et psychique ; la capacité d’élaboration était minime ; il n’y avait pas d’idées délirantes caractérisées, et l’experte n’a pas noté d’autres symptômes de la lignée psychotique que des hallucinations acoustico-verbales ; il n’y avait pas non plus d’éléments hypomanes ou maniaques. L’assurée présentait une thymie abaissée, des idées suicidaires récurrentes souvent scénarisées, une estime de soi altérée, des idées de dévalorisation, des troubles du rythme nycthéméral, une aboulie, une perte d’espoir, une diminution de l’intérêt et du plaisir, une augmentation de la fatigabilité avec altération de la concentration et de 10J010</w:t>
      </w:r>
    </w:p>
    <w:p>
      <w:r>
        <w:t>- 11 - l’attention, ainsi qu’une importante diminution de l’appétit. L’experte a par ailleurs constaté un ralentissement psychomoteur, une dépression plus marquée le matin, de même qu’un manque de réactivité émotionnelle à des événements ou des circonstances habituellement agréables. bb) Sur la base de ses observations, la Dre P.________ a retenu le diagnostic de trouble dépressif récurrent, épisode actuel moyen, avec syndrome somatique (F33.11). Le dossier médical de l’assurée faisait mention de symptômes dépressifs dès 2011 ayant nécessité la prescription de plusieurs antidépresseurs différents. En 2022, la Dre J.________ retenait le diagnostic de trouble dépressif récurrent en raison d’une tristesse, d’une perte de goût et d’intérêt pour quoi que ce soit, de troubles du sommeil, d’une fatigue, d’une tendance au repli, de troubles de la concentration et de la mémoire, d’idées noires récurrentes, d’un pessimisme face à l’avenir, d’une anxiété et de difficultés dans la gestion des émotions et l’organisation des tâches administratives. Compte tenu d’une aggravation de l’état de santé de l’intéressée se caractérisant par des symptômes dépressifs continus et plusieurs tentamens, la psychiatre traitante prénommée s’est vu contrainte d’augmenter la posologie de la médication antidépressive. Cette chronicisation de la dépression permettait de la qualifier de persistante ou continue. De plus, il existait, lors des périodes d’intensité sévère, des symptômes psychotiques sous la forme d’hallucinations acoustico-verbales. cc) La Dre P.________ a écarté le diagnostic de dysthymie (F34.1) posé par le Dr E.________. En effet, la sévérité de certains symptômes, tels que des idées suicidaires scénarisées, permettaient de retenir un trouble dépressif récurrent. De plus, ils perduraient de manière ininterrompue depuis plusieurs années avec des périodes d’aggravation lors desquelles ils devenaient sévères. De même, l’experte n’a pas retenu le diagnostic de trouble de la personnalité dépendante posé par la Dre J.________. En se référant à la description de la CIM-10, elle a expliqué que ce trouble se caractérisait par le fait d’autoriser ou d’encourager les autres à prendre la plupart des décisions importantes de la vie à sa place ; une subordination de ses propres besoins à ceux de personnes dont le sujet dépend et une 10J010</w:t>
      </w:r>
    </w:p>
    <w:p>
      <w:r>
        <w:t>- 12 - soumission excessive à leur volonté ; une réticence à faire des demandes, même justifiées, à ces mêmes personnes ; un sentiment de malaise ou d’impuissance quand le sujet est seul en raison d’une peur excessive de ne pouvoir se prendre en charge seul ; une préoccupation par la peur d’être abandonné par la personne avec qui le sujet a une relation proche et d’être livré à soi-même ; une capacité réduite à prendre des décisions dans la vie quotidienne sans être rassuré ou conseillé de manière excessive par autrui. La Dre P.________ a précisé que les troubles de la personnalité étaient des perturbations sévères de la constitution caractérologique et des tendances comportementales de l’individu, concernant habituellement plusieurs secteurs de la personnalité et s’accompagnant en général de difficultés personnelles et sociales considérables. Ces troubles débutaient généralement dans l’enfance ou l’adolescence. e) aa) Sous l’angle de la personnalité, la Dre P.________ a écarté l’existence d’un trouble de la personnalité. Toutefois, au vu des carences affectives, sociales et développementales apparues à un âge jeune chez l’assurée, auxquelles se surajoutaient des éléments traumatiques dans l’enfance et l’adolescence, elle a fait remarquer que les ressources adaptatives étaient faibles. Certes, elles avaient permis à l’intéressée de fonctionner durant un certain temps, notamment d’élever ses enfants, mais s’étaient amenuisées au fil du temps, ce qui avait entraîné une baisse de son niveau global de fonctionnement et la présence, dans le tableau clinique actuel, de traits de la personnalité dépendante. Selon l’experte, ces traits de personnalité s’intriquaient avec les symptômes dépressifs dans le tableau clinique avec une tendance à les aggraver, tout comme les symptômes anxieux. bb) L’experte a examiné le degré de l’atteinte à la santé et la capacité de travail de la recourante en analysant les ressources, le traitement médical et la cohérence. Elle a indiqué qu’elle n’était pas en mesure de se prononcer précisément sur les ressources résiduelles somatiques, lesquelles paraissaient toutefois actuellement très limitées (épuisement chronique, besoin d’alitement plusieurs heures par jour, rapide interruption des tâches en raison de la fatigue, manque de force, instabilité 10J010</w:t>
      </w:r>
    </w:p>
    <w:p>
      <w:r>
        <w:t>- 13 - à la marche, vertiges). Comme le montrait le tableau clinique d’une dépression continue et l’examen neuropsychologique ininterprétable, l’assurée possédait très peu de ressources résiduelles sur les plans psychique et cognitif. Du point de vue social, elle était complètement isolée et dépendait totalement de son mari, aussi bien financièrement que pour les déplacements et l’accès aux soins ; elle n’avait par ailleurs ni réseau social, ni réseau associatif, en Suisse comme en Serbie, et ses aptitudes sociales étaient très limitées. Le traitement médicamenteux psychiatrique antidépresseur de longue date semblait avoir peu d’effets sur les symptômes dépressifs chroniques présentés par la recourante en dépit d’une augmentation des doses prescrites. Son fonctionnement de personnalité, ses faibles ressources cognitives et intellectuelles, sa faible capacité introspective, son absence de ressources sociales, l’obstacle de la langue et la réticence du mari – dont elle était dépendante – vis-à-vis des soins psychiatriques, limitaient et entravaient les traitements et leurs effets potentiels. Toutefois, la Dre P.________ estimait qu’une réévaluation du traitement médicamenteux psychiatrique serait indiquée, de même que la réalisation d’une IRM cérébrale pour exclure une composante somatique au tableau clinique observé. Si un suivi psychiatrique de soutien pouvait être bénéfique, une psychothérapie avait en revanche peu de chances de donner des résultats au vu de la capacité introspective très faible et des difficultés attentionnelles et réflexives de la recourante. Aucune de ces mesures n’était susceptible d’améliorer de façon significative la capacité de travail. Le pronostic restait réservé au vu de la chronicité des troubles, de leur résistance au traitement et de leur évolution vers davantage de sévérité au cours du temps. Pour le reste, le tableau clinique était cohérent ; des symptômes dépressifs étaient présents depuis 2011 au moins, évoquant un trouble dépressif récurrent ; l’évolution du trouble vers une chronicité et un caractère continu, depuis environ 2020, s’était confirmée au fil des années et était cohérente avec la personnalité et les faibles ressources de l’assurée, lesquelles s’étaient réduites avec le temps ; il n’y avait pas de discordance entre ses plaintes et son comportement ; la recourante était compliante au traitement médicamenteux somatique et psychiatrique. 10J010</w:t>
      </w:r>
    </w:p>
    <w:p>
      <w:r>
        <w:t>- 14 - f) De l’avis de la Dre P.________, le diagnostic de trouble dépressif récurrent, épisode actuel moyen avec syndrome somatique, avait une répercussion sur la capacité de travail. En effet, ce trouble revêtait une forme chronique et continue depuis plusieurs années, avec des périodes de sévérité accrue, correspondant aux critères d’un épisode dépressif sévère, où pouvaient apparaître des idées suicidaires scénarisées, des passages à l’acte auto-agressifs et des hallucinations acoustico-verbales. Des traits de personnalité dépendante compliquaient le tableau clinique en aggravant les symptômes dépressifs et anxieux de l’assurée, l’empêchant de rester seule plus de quinze à trente minutes. Le caractère constant de ces atteintes était incompatible avec une activité professionnelle, quelle qu’elle soit. A propos des limitations fonctionnelles, l’experte a relevé une difficulté à s’organiser et à s’adapter aux règles et routines (le mari était garant des rendez-vous et des horaires de prises de traitements ; elle peinait à terminer les tâches débutées) ; une difficulté à planifier et structurer les tâches (fatigabilité ; nécessité de l’aide du conjoint pour structurer la journée ; horaires de journée perturbés par l’alitement et la clinophilie ; troubles du rythme nycthéméral) ; une rigidité mentale se traduisant par une irritabilité constante, une absence de persévérance et de patience dans les tâches entreprises ; une absence d’acquisition de connaissances nouvelles et des difficultés pour user de celles déjà acquises, telles que la maîtrise de la langue française ; de grandes difficultés à prendre des décisions, même minimes (apathie, aboulie) ; l’absence d’activités spontanées et de proactivité ; l’absence d’activité de groupe ou associative ; une faible endurance avec des difficultés à maintenir un niveau de rendement continu, ce qui nécessitait un arrêt rapide des activités en raison d’une fatigabilité importante et de difficultés de concentration et de maintien de l’attention ; une absence de contacts sociaux associée à un repli et à un isolement social ; une incapacité à s’affirmer (idées de dévalorisation, manque de confiance en soi, vision pessimiste de l’avenir) ; une incapacité à s’intégrer dans un groupe ou une équipe en même temps qu’une difficulté importante à rester seule ; enfin, l’experte a retenu que l’assurée parvenait difficilement à prendre soin d’elle-même (inappétence, peine à s’hydrater, absence de demande d’aide). Les emplois exercés par le passé, tels que femme de ménage, vendeuse, aide agricole ou aide dans une entreprise de 10J010</w:t>
      </w:r>
    </w:p>
    <w:p>
      <w:r>
        <w:t>- 15 - pompes funèbres, n’étaient plus exigibles sur le plan psychique. De plus, les ressources somatiques résiduelles semblaient actuellement très limitées. Une activité compatible avec les limitations de la recourante demeurait inaccessible en raison du retentissement fonctionnel de l’atteinte psychique. Par conséquent, la capacité de travail de la recourante était nulle depuis 2020 au moins en toute activité. Au demeurant, l’intéressée n’avait jamais recouvré une santé psychique suffisante pour espérer être réinsérée professionnellement. g) Sur le vu de ce qui précède, il y a lieu de retenir que la recourante présente une incapacité totale de travail en toute activité depuis 2020 à tout le moins. Dans la mesure où la Dre P.________ estime qu’aucune activité ne permettrait à la recourante d’améliorer son taux d’activité ou ses revenus, le taux d’invalidité se confond avec l’incapacité de travail telle qu’elle a été retenue par l’experte (application de la méthode de la comparaison en pour-cent ; ATF 114 V 310 consid. 3a ; TF 9C_252/2021 du</w:t>
      </w:r>
    </w:p>
    <w:p>
      <w:r>
        <w:rPr>
          <w:b/>
        </w:rPr>
        <w:t>E. 9</w:t>
      </w:r>
    </w:p>
    <w:p>
      <w:r>
        <w:t>Subsiste la question des frais de l’expertise judiciaire. a) Aux termes de l’art. 45 al. 1 LPGA, les frais de l’instruction sont pris en charge par l’assureur qui a ordonné les mesures. A défaut, l’assureur rembourse les frais occasionnés par les mesures indispensables 10J010</w:t>
      </w:r>
    </w:p>
    <w:p>
      <w:r>
        <w:t>- 16 - à l’appréciation du cas ou comprises dans les prestations accordées ultérieurement. Conformément à la jurisprudence du Tribunal fédéral en matière d'assurance-invalidité (cf. ATF 139 V 496 consid. 4.3 ; 139 V 349 consid. 5.4), les frais qui découlent de la mise en oeuvre d'une expertise judiciaire peuvent le cas échéant être mis à la charge de l'assurance-invalidité. En effet, lorsque l'autorité judiciaire de première instance ordonne la réalisation d'une expertise judiciaire parce qu'elle estime que l'instruction menée par l'autorité administrative est insuffisante (au sens du consid. 4.4.1.4 de l'ATF 137 V 210), elle intervient dans les faits en lieu et place de l'autorité administrative qui aurait dû, en principe, mettre en oeuvre cette mesure d'instruction dans le cadre de la procédure administrative. Dans ces conditions, les frais de l'expertise ne constituent pas des frais de justice au sens de l'art. 69 al. 1bis LAI, mais des frais relatifs à la procédure administrative au sens de l'art. 45 LPGA qui doivent être pris en charge par l'assurance-invalidité.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oeuvre une expertise judiciaire (ATF 137 V 210 consid. 4.4.2 ; sur l'ensemble de la question, cf. aussi Erik Furrer, Rechtliche und praktische Aspekte auf dem Weg zum Gerichtsgutachten in der Invalidenversicherung, RSAS 2019, p. 14). b) En l’occurrence, la Cour de céans s’est vue contrainte de mettre en œuvre une expertise judiciaire psychiatrique auprès de la Dre P.________ en raison des lacunes de l’expertise de L.________ Sàrl, en particulier s’agissant de son volet psychiatrique. L’intimé a certes fondé la décision attaquée sur le rapport d’expertise de L.________ Sàrl du 18 août 2023. Toutefois, postérieurement à celui-ci, la recourante, par son mari et par sa psychiatre traitante, la Dre J.________, ont rendu compte d’un avis 10J010</w:t>
      </w:r>
    </w:p>
    <w:p>
      <w:r>
        <w:t>- 17 - divergent de celui des experts, conforté par les tentamen de l’intéressée. En pareilles circonstances, il se justifiait de poursuivre l’instruction pour clarifier le cas et départager les avis opposés au dossier. Une expertise neutre s’imposait incontestablement, laquelle a du reste porté les fruits escomptés en réfutant l’appréciation de l’expert psychiatre de L.________ Sàrl. Dans ces conditions, il se justifie de mettre à la charge de l’office AI les frais de l’expertise judiciaire psychiatrique et neuropsychologique, soit un montant de 13'000 fr. conformément à la note d’honoraires de la Dre P.________ du 24 octobre 2025.</w:t>
      </w:r>
    </w:p>
    <w:p>
      <w:r>
        <w:rPr>
          <w:b/>
        </w:rPr>
        <w:t>E. 10</w:t>
      </w:r>
    </w:p>
    <w:p>
      <w:r>
        <w:t>En définitive, le recours doit être admis et la décision attaquée réformée en ce sens que B.X.________ est mise au bénéfice d’une entière d’invalidité à compter du 1er juillet 2022.</w:t>
      </w:r>
    </w:p>
    <w:p>
      <w:r>
        <w:rPr>
          <w:b/>
        </w:rPr>
        <w:t>E. 11</w:t>
      </w:r>
    </w:p>
    <w:p>
      <w:r>
        <w:t>La procédure de recours en matière de contestations portant sur des prestations de l’assurance-invalidité est soumise à des frais de justice (art. 69 al. 1bis LAI). Il convient de les fixer à 600 fr. et de les mettre à la charge de la partie intimée, vu l’issue du litige. Il n’y a pas lieu d’allouer des dépens, la partie recourante ayant procédé sans mandataire professionnel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