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ZD24.009081 vom 28. August 2025</w:t>
      </w:r>
    </w:p>
    <w:p>
      <w:r>
        <w:t>VD Tribunal cantonal, 2025-08-28, FR</w:t>
      </w:r>
    </w:p>
    <w:p>
      <w:r>
        <w:rPr>
          <w:b/>
        </w:rPr>
        <w:t xml:space="preserve">Quelle: </w:t>
      </w:r>
      <w:r>
        <w:t>https://mcp.opencaselaw.ch/entscheid/vd_gerichte_ZD24.009081</w:t>
      </w:r>
    </w:p>
    <w:p>
      <w:r>
        <w:t>FR: VD_GERICHTE ZD24.009081 du 28 août 2025</w:t>
      </w:r>
    </w:p>
    <w:p>
      <w:r>
        <w:t>IT: VD_GERICHTE ZD24.009081 del 28 agosto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w:t>
      </w:r>
    </w:p>
    <w:p>
      <w:r>
        <w:t>- 10 - valoir son droit aux prestations conformément à l’art. 29 al. 1 LPGA, mais pas avant le mois qui suit le 18e anniversaire de l’assuré (art. 29 al. 1 LAI).</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t>- 11 -</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S’agissant de l’obésité, dans un arrêt 8C_104/2024 du 22 octobre 2024 consid. 5 (publié aux ATF 151 V 66) cité par la recourante, le Tribunal fédéral est revenu sur sa jurisprudence antérieure en vertu de laquelle cette maladie n’entraînait en principe pas d’invalidité donnant droit à une rente si elle ne causait pas de dommages physiques ou psychiques et n’était pas la conséquence de tels dommages ; si ces conditions n’étaient pas remplies, elle devait néanmoins être considérée comme invalidante, compte tenu des circonstances particulières du cas d’espèce, si elle ne pouvait être réduite, ni par un traitement approprié ni par une perte de poids raisonnable, à un niveau tel que le surpoids, associé à d’éventuelles séquelles, n’entraînait pas d’atteinte permanente ou prolongée. Dorénavant, comme pour toute atteinte à la santé physique, il convient d’examiner au cas par cas si et dans quelle mesure l’obésité et le déconditionnement physique qu’elle engendre impactent la capacité de travail et, cas échéant, si l’assuré peut réduire le dommage.</w:t>
      </w:r>
    </w:p>
    <w:p>
      <w:r>
        <w:rPr>
          <w:b/>
        </w:rPr>
        <w:t>E. 8</w:t>
      </w:r>
    </w:p>
    <w:p>
      <w:r>
        <w:t>En l’espèce, l’intimé a refusé de prester en faveur de la recourante, estimant que sa capacité de travail était entière dans une activité adaptée à ses limitations fonctionnelles, à savoir une activité légère, sédentaire, sans station debout et/ou marche prolongée, et sans port de charge. L’intimé s’est fondé sur l’avis du SMR du 2 octobre 2023 et sur les rapports médicaux recueillis auprès des médecins consultés par la recourante. Celle-ci estime quant à elle que sa capacité de travail est nulle</w:t>
      </w:r>
    </w:p>
    <w:p>
      <w:r>
        <w:t>- 12 - en raison des atteintes à la santé somatique et psychique dont elle souffre. Il sied de relever que la recourante souffre de multiples troubles à sa santé d’ordre somatique mises en évidence par les pièces au dossier, dont la plupart sont susceptibles d’avoir une incidence sur la capacité de travail. Or il n’existe aucun rapport médical suffisamment motivé pour statuer sur les droits de la recourante. Aucun rapport ne contient une anamnèse détaillée de la situation médicale de la recourante ni ne tient compte de l’ensemble des diagnostics posés pour évaluer la capacité de travail, tous les rapports médicaux étant au demeurant extrêmement lapidaires. Par ailleurs, les rapports des médecins ayant examiné la recourante ne permettent pas de corroborer la pleine capacité de travail retenue par le SMR dans son avis du 2 octobre 2023, qui est extrêmement sommaire et peu étayé. Dans son rapport du 20 juillet 2022, le médecin traitant de la recourante a indiqué qu’il n’était pas en mesure d’évaluer la capacité de travail de sa patiente et qu’il était nécessaire que l’intimé la convoque pour investiguer ce point. Le 7 février 2023, ce médecin a indiqué que la capacité de travail était proche du zéro hormis dans un travail de bureau/informatique, sans expliquer pourquoi il était dorénavant en mesure d’évaluer la capacité de travail de sa patiente. Cela étant, une reprise immédiate d’une activité professionnelle ne lui semblait pas possible puisqu’il a précisé que des mesures de réadaptation n’étaient pas envisageables avant une perte de poids significative qui devrait intervenir après la chirurgie bariatrique à laquelle la recourante devait se soumettre. Le 11 avril 2023, la Dre K.________ a relevé que d’un point de vue pulmonaire, il n’y avait pas d’incapacité de travail si le syndrome d’apnée du sommeil était contrôlé sous CPAP, précisant cependant qu’elle ne pouvait pas indiquer le nombre d’heures de travail par jour que pourrait réaliser la recourante. Dans son rapport du 27 mars 2023, le Dr F.________ ne s’est pas déterminé sur la capacité de travail, relevant que la recourante souffrait de douleurs lors de station debout prolongée et lors de port de charges. Il a précisé qu’un travail non-physique pourrait être</w:t>
      </w:r>
    </w:p>
    <w:p>
      <w:r>
        <w:t>- 13 - possible en fonction de sa perte de poids mais que la situation n’était alors pas stabilisée. Or, la chirurgie bariatrique n’a finalement pas été réalisée en l’état du dossier et aucun rapport médical au dossier n’examine les conséquences de l’obésité de classe III dont souffre la recourante sur sa capacité de travail, alors que celle-ci soutient devoir rester alitée la majeure partie de la journée. En conséquence, aucun rapport médical ne permet d’établir la réelle capacité de travail de la recourante au moment où la décision attaquée a été rendue. Pour le surplus, la recourante a mentionné dès le début l’existence d’une atteinte sur le plan psychologique, ce qui semble corroboré par les rapports de la Dre S.________ qui font état d’une dépression, sans que ce point n’ait été investigué par l’intimé. Il découle de ce qui précède que le dossier est insuffisamment instruit.</w:t>
      </w:r>
    </w:p>
    <w:p>
      <w:r>
        <w:rPr>
          <w:b/>
        </w:rPr>
        <w:t>E. 9</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139 V 99 consid. 1.1 ; 137 V 210 consid. 4.4.1.4 et 4.4.1.5). b) En l’espèce, il ressort des considérants qui précèdent que l’instruction menée par l’intimé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w:t>
      </w:r>
    </w:p>
    <w:p>
      <w:r>
        <w:t>- 14 - la procédure dans le domaine des assurances sociales (art. 43 al. 1 LPGA). Il lui appartiendra de mettre en œuvre une expertise avec, à tout le moins, des volets en médecine interne, orthopédie, rhumatologie et psychiatrie, puis de rendre une nouvelle décision tenant compte de la nouvelle jurisprudence du Tribunal fédéral concernant l’obésité (TF 8C_104/2024 précité).</w:t>
      </w:r>
    </w:p>
    <w:p>
      <w:r>
        <w:rPr>
          <w:b/>
        </w:rPr>
        <w:t>E. 10</w:t>
      </w:r>
    </w:p>
    <w:p>
      <w:r>
        <w:t>a) En conclusion, le recours doit être admis et la décision attaquée annulée, la cause étant renvoyée à l’intimé pour complément d’instruction dans le sens des considérants puis nouvelle décision. b) La procédure de recours en matière de contestations portant sur l'octroi ou le refus de prestations de l'AI devant le tribunal cantonal des assurances est soumise à des frais judiciaires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1’900 fr., débours et TVA compris (art. 10 et 11 TFJDA [tarif du 28 avril 2015 des frais judiciaires et des dépens en matière administrative ; BLV 173.36.5.1]), et de la mettre à la charge de la partie intimée.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