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ZD24.008573 vom 27. August 2025</w:t>
      </w:r>
    </w:p>
    <w:p>
      <w:r>
        <w:t>VD Tribunal cantonal, 2025-08-27, FR</w:t>
      </w:r>
    </w:p>
    <w:p>
      <w:r>
        <w:rPr>
          <w:b/>
        </w:rPr>
        <w:t xml:space="preserve">Quelle: </w:t>
      </w:r>
      <w:r>
        <w:t>https://mcp.opencaselaw.ch/entscheid/vd_gerichte_ZD24.008573</w:t>
      </w:r>
    </w:p>
    <w:p>
      <w:r>
        <w:t>FR: VD_GERICHTE ZD24.008573 du 27 août 2025</w:t>
      </w:r>
    </w:p>
    <w:p>
      <w:r>
        <w:t>IT: VD_GERICHTE ZD24.008573 del 27 agosto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w:t>
      </w:r>
    </w:p>
    <w:p>
      <w:r>
        <w:t>- 13 -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si le taux d’invalidité du bénéficiaire de la rente subit une modification notable, la rente est, d’office ou sur demande, révisée pour l’avenir, à savoir augmentée ou réduite en conséquence, ou encore supprimée. d) En l’espèce, il convient de faire application des règles précitées dans la mesure où le recourant se prévaut d’une péjoration de son état de santé, respectivement de ses limitations fonctionnelles, postérieurement à l’arrêt de la Cour de céans du 24 février 2020 (cause AI 382/18 – 63/2020). Il s’agit par conséquent de déterminer si les pièces médicales versées à son dossier depuis lors font effectivement état d’une dégradation de la situation susceptible de constituer un motif de révision au sens de l’art. 17 al. 1 LPGA.</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w:t>
      </w:r>
    </w:p>
    <w:p>
      <w:r>
        <w:t>- 14 -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font état d’éléments objectivement vérifiables ayant été ignorés dans le cadre de l’expertise et qui sont suffisamment pertinents pour remettre en cause les conclusions de l’expert (TF 9C_158/2013 du 17 septembre 2013 consid. 2.2).</w:t>
      </w:r>
    </w:p>
    <w:p>
      <w:r>
        <w:t>- 15 -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Il appartient aux experts médicaux d'évaluer l'état de santé de la personne assurée et les répercussions de celui-ci sur la capacité de travail (ATF 140 V 193 consid. 3.2).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9C_441/2019 du 28 octobre 2019 consid. 3.1 et les références citées).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et les arrêts cités).</w:t>
      </w:r>
    </w:p>
    <w:p>
      <w:r>
        <w:rPr>
          <w:b/>
        </w:rPr>
        <w:t>E. 6</w:t>
      </w:r>
    </w:p>
    <w:p>
      <w:r>
        <w:t>a) En l’espèce, le recourant a fait l’objet d’une expertise confiée au H.________, dont la valeur probante a été confirmée par la Cour de céans dans son arrêt du 24 février 2020 (cause AI 382/18 – 63/2020). Les experts retenaient, au titre de diagnostics incapacitants, un diabète</w:t>
      </w:r>
    </w:p>
    <w:p>
      <w:r>
        <w:t>- 16 - insulino-dépendant, une gonarthrose avec chondropathie fémoropatellaire et une lombalgie commune avec dissécation des disques L3-S1. Les limitations fonctionnelles avaient trait aux contraintes engendrées par le diabète et aux mesures d’épargne du rachis. b) A la date de la décision querellée du 19 janvier 2024, le recourant se prévaut des rapports de ses médecins traitants, tout particulièrement du Dr C.________, pour considérer que son était de santé se serait aggravé au point de justifier de nouvelles limitations fonctionnelles et de restreindre sa capacité de travail à un taux n’excédant pas 50 %. c) On ne saurait toutefois suivre le raisonnement du recourant à cet égard. On relève, à l’instar de l’intimé, respectivement du SMR, que le Dr C.________ a pour l’essentiel fait état de diagnostics superposables à ceux retenus au sein du H.________. Il a en effet rapporté une gonarthrose interne, une arthrose fémoro-rotulienne et des rachialgies chroniques en L3-S1, connues et investiguées par les experts dans leur rapport du 14 mars 2018 (cf. rapports du Dr C.________ du 13 novembre 2020 et du DAL du Centre hospitalier D.________ du 19 mars 2020). Ultérieurement, le Dr C.________ a certes mentionné une péjoration de la situation en raison d’une décompensation des deux genoux (cf. rapports des 6 décembre 2022 et 8 février 2023). Dans ce contexte, le Dr F.________ a envisagé la pose de prothèses totales des genoux, excluant toutefois qu’une telle intervention revête un caractère d’urgence, tandis que des mesures hygiéno-diététiques et du sport (vélo et natation) étaient recommandées. Le recourant a par ailleurs différé, de son propre chef, l’intervention chirurgicale envisagée, le Dr F.________ s’étant dès lors limité à préconiser un contrôle à l’échéance d’une année (cf. rapports du Dr F.________ des 23 juin et 5 décembre 2023). Ces pièces font donc état, pour l’essentiel, de l’aggravation temporaire des lésions dégénératives des genoux, ce qui constitue l’évolution naturelle de telles affections, et d’un traitement destiné à soulager la symptomatologie présentée par le recourant. On ne voit donc pas que ce dernier serait affecté de nouvelles atteintes à la</w:t>
      </w:r>
    </w:p>
    <w:p>
      <w:r>
        <w:t>- 17 - santé, qui justifieraient une réduction de sa capacité de travail résiduelle ou de nouvelles limitations fonctionnelles. d) Il est établi que le recourant a été victime d’un infarctus du myocarde en septembre 2020, lequel a été responsable d’une incapacité totale de travail jusqu’en avril 2021 selon l’intimé, respectivement le SMR (cf. avis du 10 mai 2021). Cette conclusion est fondée sur les éléments communiqués par le cardiologue traitant du recourant, le Dr G.________. Ce dernier a en effet expressément indiqué, le 27 avril 2021, que son patient avait recouvré un état stable sans complications subséquentes et qu’il ne présentait aucune limitation fonctionnelle sur le plan cardiologique. Il n’y a donc pas lieu de remettre en question l’appréciation de l’intimé de ce point de vue, ce que le recourant ne conteste d’ailleurs pas. e) Enfin, le recourant ne peut tirer aucune conclusion médicale des rapports consécutifs aux mesures d’orientation professionnelle, lesquels tiennent compte non seulement des limitations observées auprès du recourant, mais également de son niveau de compétences et de ses difficultés linguistiques, ainsi que de son déconditionnement (cf. notamment : rapport de l’I.________ du 4 mai 2021 et d’U.________ du 15 juin 2022). f) Compte tenu des éléments qui précèdent, on ne voit aucune raison objective de se distancer de l’appréciation communiquée par le SMR dans ses avis des 10 mai 2021 et 18 janvier 2024. Force est donc de constater, avec l’intimé, qu’à la date de la décision litigieuse, le tableau clinique présenté par le recourant – en dépit d’une période d’incapacité totale de travail entre septembre 2020 et avril 2021 – ne justifie pas de conclure à une modification substantielle de la capacité de travail exigible dans une activité adaptée et de ses limitations fonctionnelles. Par conséquent, il y a lieu de nier la réalisation d’un motif de révision au sens de l’art. 17 LPGA et de considérer que le recourant est toujours doté d’une capacité de travail de 100 % avec une diminution de rendement de 20 % dans une activité adaptée à son état de santé. Partant, il n’y a aucune raison de réévaluer le degré d’invalidité du recourant, chiffré à 33,53 %,</w:t>
      </w:r>
    </w:p>
    <w:p>
      <w:r>
        <w:t>- 18 - lequel a été expressément confirmé par la Cour de céans dans son arrêt du 24 février 2020 (cause AI 382/18 – 63/2020 consid. 5). Un tel taux d’invalidité exclut le droit à une rente de l’assurance-invalidité (cf. art. 28 al. 1 LAI).</w:t>
      </w:r>
    </w:p>
    <w:p>
      <w:r>
        <w:rPr>
          <w:b/>
        </w:rPr>
        <w:t>E. 7</w:t>
      </w:r>
    </w:p>
    <w:p>
      <w:r>
        <w:t>a) A titre informatif, on rappellera qu’en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Dans ce cadre, le juge ne peut toutefois substituer sa propre appréciation à celle de l’administration, mais doit s’appuyer sur des circonstances de nature à faire apparaître sa propre appréciation comme la mieux appropriée (ATF 137 V 71 consid 5.2).</w:t>
      </w:r>
    </w:p>
    <w:p>
      <w:r>
        <w:t>- 19 - b) Les griefs du recourant en lien avec l’abattement de 15 % pris en compte par l’intimé auraient dû être soulevés lors de la précédente procédure de recours. On peut néanmoins relever que dit abattement n’apparaît pas critiquable dans la mesure où il tient compte adéquatement de la situation personnelle du recourant, singulièrement de ses restrictions fonctionnelles et de son âge.</w:t>
      </w:r>
    </w:p>
    <w:p>
      <w:r>
        <w:rPr>
          <w:b/>
        </w:rPr>
        <w:t>E. 8</w:t>
      </w:r>
    </w:p>
    <w:p>
      <w:r>
        <w:t>a) Selon l’art. 26bis al. 3 RAI dans sa teneur en vigueur dès le 1er janvier 2024, édicté sur la base de l’art. 28a al. 1 LAI, une déduction de</w:t>
      </w:r>
    </w:p>
    <w:p>
      <w:r>
        <w:rPr>
          <w:b/>
        </w:rPr>
        <w:t>E. 10</w:t>
      </w:r>
    </w:p>
    <w:p>
      <w:r>
        <w:t>% est opérée sur la valeur statistique visée à l’al. 2 (revenu d’invalide déterminé en fonction des valeurs statistiques). Si, du fait de l’invalidité, l’assuré ne peut travailler qu’avec une capacité fonctionnelle au sens de l’art. 49 al. 1bis RAI de 50 % ou moins, une déduction de 20 % est opérée. Aucune déduction supplémentaire n’est possible. b) D’après le chiffre II des dispositions transitoires relatives à la modification du RAI du 18 octobre 2023 (RO 2023 635), lorsque l’octroi d’une rente ou d’un reclassement a été refusé avant l’entrée en vigueur de cette modification parce que le taux d’invalidité était insuffisant, une nouvelle demande n’est examinée que s’il est établi de façon plausible qu’un calcul du taux d’invalidité effectué en application de l’art. 26bis al. 3 RAI pourrait aboutir cette fois à la reconnaissance d’un droit à la rente ou au reclassement (al. 2). c) Ainsi que l’a relevé à juste titre l’intimé dans sa duplique du</w:t>
      </w:r>
    </w:p>
    <w:p>
      <w:r>
        <w:rPr>
          <w:b/>
        </w:rPr>
        <w:t>E. 11</w:t>
      </w:r>
    </w:p>
    <w:p>
      <w:r>
        <w:t>juin 2024, l’application de l’art. 26bis al. 3 RAI susmentionné ne modifierait pas le droit aux prestations du recourant, dans la mesure où l’abattement opéré sur le revenu d’invalide n’excéderait pas 10 %. Son degré d’invalidité serait ainsi inférieur au taux reconnu en sa faveur de 33,53 % et n’atteindrait donc pas le seuil de 40 %. d) On précisera, à l’attention du recourant, que l’abattement prévu par l’art. 26bis al. 3 RAI, dans sa teneur en vigueur depuis le 1er janvier 2024, ne saurait être additionné à celui prévu sous l’ancien droit, comme il le fait valoir dans son mémoire de recours du 26 février 2024.</w:t>
      </w:r>
    </w:p>
    <w:p>
      <w:r>
        <w:t>- 20 - 9.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9C_329/2015 du 20 novembre 2015 consid. 7.2 et 9C_496/2015 du 28 octobre 2015 consid. 3.2). b) En l’occurrence, quoi que soutienne le recourant, il dispose, en dépit de son âge, d’une capacité de travail entière et présente des limitations fonctionnelles – somme toute modestes – compatibles avec nombre d’activités légères sur le marché de l’emploi. Dans ce contexte, les activités mises en évidence par le Service de réinsertion professionnelle de l’intimé, à savoir dans le domaine industriel léger, dans le conditionnement, l’administration simple ou la vente, apparaissent compatibles avec l’état de santé du recourant et accessibles sans formation professionnelle certifiée (cf. à cet égard : rapport du Service de réinsertion professionnelle de l’intimé du 22 juin 2021). On ne saurait retenir qu’un potentiel employeur devrait faire des concessions irréalistes en cas d’engagement du recourant. L’exigibilité de la mise à profit de la capacité de travail du recourant sur le marché ordinaire du travail</w:t>
      </w:r>
    </w:p>
    <w:p>
      <w:r>
        <w:t>- 21 - n’apparaît par conséquent pas contestable. Les conclusions ressortant des mesures d’orientation professionnelle, dont se prévaut le recourant, ne légitiment pas une conclusion différente. En particulier, les stages mis en œuvre (en tant que conducteur de balayeuse et d’employé de voirie) ont eu lieu dans des domaines où les limitations fonctionnelles du recourant ne sont pas forcément respectées, alors que les activités légères retenues par le Service de réinsertion professionnelle de l’intimé n’ont pas été concrètement testées. 10. a) Sur le vu de ce qui précède, le recours, mal fondé, doit être rejeté et la décision de l’intimé du 19 janvier 2024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c) En outre, n’obtenant pas gain de cause, le recourant ne peut prétendre à des dépens (art. 55 al. 1 LPA-VD et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