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ZD24.006904 vom 22. Juli 2024</w:t>
      </w:r>
    </w:p>
    <w:p>
      <w:r>
        <w:t>VD Tribunal cantonal, 2024-07-22, FR</w:t>
      </w:r>
    </w:p>
    <w:p>
      <w:r>
        <w:rPr>
          <w:b/>
        </w:rPr>
        <w:t xml:space="preserve">Quelle: </w:t>
      </w:r>
      <w:r>
        <w:t>https://mcp.opencaselaw.ch/entscheid/vd_gerichte_ZD24.006904</w:t>
      </w:r>
    </w:p>
    <w:p>
      <w:r>
        <w:t>FR: VD_GERICHTE ZD24.006904 du 22 juillet 2024</w:t>
      </w:r>
    </w:p>
    <w:p>
      <w:r>
        <w:t>IT: VD_GERICHTE ZD24.006904 del 22 luglio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- 8 -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w:t>
      </w:r>
    </w:p>
    <w:p>
      <w:r>
        <w:t>- 9 -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Aux termes de l’art. 17 al. 1 LPGA,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w:t>
      </w:r>
    </w:p>
    <w:p>
      <w:r>
        <w:t>- 10 - appréciation des preuves et, si nécessaire, une comparaison des revenus – et les circonstances régnant à l’époque de la décision litigieuse (ATF 147 V 167 consid. 4.1 ; 133 V 108 consid. 5.2).</w:t>
      </w:r>
    </w:p>
    <w:p>
      <w:r>
        <w:rPr>
          <w:b/>
        </w:rPr>
        <w:t>E. 5</w:t>
      </w:r>
    </w:p>
    <w:p>
      <w:r>
        <w:t>a) Si les conditions de l'art. 17 LPGA font défaut, la décision de rente peut encore être modifiée si les exigences prévues à l'art. 53 al. 2 LPGA pour la reconsidération d'une décision administrative entrée en force sont réalisées (ATF 125 V 368 consid. 2 ; TF 9C_431/2009 du 3 novembre 2009 consid. 2.2). b) Selon l’art. 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de même qu'une constatation erronée résultant de l'appréciation des faits. Un changement de pratique ou de jurisprudence ne saurait en principe justifier une reconsidération (TF 8C_424/2019 du 3 juin 2020 consid. 5.1) 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w:t>
      </w:r>
    </w:p>
    <w:p>
      <w:r>
        <w:t>- 11 - de la reconsidération ne sont pas remplies (TF 8C_108/2022 du 22 septembre 2022 consid. 3.3 ; TF 8C_424/2019 du 3 juin 2020 précité consid. 5.1). d)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 TF 9C_361/2015 du 17 juillet 2015 consid. 5.1 ; TF 9C_11/2008 du 29 avril 2008 consid. 2). En vertu du droit d'être entendu, l'assuré doit, dans ce dernier cas, être informé préalablement de la substitution de motifs envisagée (ATF 125 V 368 consid. 4a et b ; cf. également ATF 128 V 272 consid. 5b/bb et les arrêts cités). e)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(TF 9C_187/2007 du 30 avril 2008 consid. 4.2).</w:t>
      </w:r>
    </w:p>
    <w:p>
      <w:r>
        <w:rPr>
          <w:b/>
        </w:rPr>
        <w:t>E. 6</w:t>
      </w:r>
    </w:p>
    <w:p>
      <w:r>
        <w:t>décembre 2021, lorsqu’elle a été engagée par le cabinet médical X.________. Cette diminution n’est en effet pas corroborée par des</w:t>
      </w:r>
    </w:p>
    <w:p>
      <w:r>
        <w:t>- 13 - éléments médicaux objectifs. Il en est de même de l’évaluation de la capacité de travail opérée par le Dr U.________ – lequel a estimé, dans son rapport du 9 octobre 2023, que cette dernière ne dépassait certainement pas les 60 % –, dans la mesure où son appréciation est en contradiction avec le fait que la recourante a été en mesure de travailler à un taux de 70 % sur une période de plus de deux ans entre 2018 et 2020, sans que l’exercice de ce taux n’ait abouti à une péjoration de son état de santé. c) En revanche, il apparaît que les décisions des 18 octobre et 15 novembre 2019 – par lesquelles l’intimé a alloué à la recourante une demi-rente à compter du 1er novembre 2018 – sont manifestement erronées. Si la recourante a en effet présenté une incapacité de travail de 50 % depuis le 1er juillet 2017, ainsi que l’a attesté le Dr Z.________ dans son rapport du 27 novembre 2017, elle a augmenté son taux d’activité à 70 % dès le 1er avril 2018, comme cela ressort notamment de son contrat conclu avec la société T.________ Sàrl en 2018. Ainsi, au moment où la recourante a présenté une incapacité moyenne de travail de 40 % (cf. art. 28 al. 1 let. b LAI), à savoir le 30 septembre 2018, elle n’était pas invalide à au moins 40 % (cf. art. 28 al. 1 let. c LAI), son incapacité de gain dans son activité habituelle s’élevant à cette date à seulement 30 %. Les conditions à l’octroi d’une rente d’invalidité n’étaient par conséquent pas réunies (cf. supra consid. 3b). Il s’ensuit que les conditions pour procéder à une reconsidération – au sens de l’art. 53 al. 2 LPGA – des décisions des 18 octobre et 15 novembre 2019 précitées sont réunies, cette démarche revêtant au demeurant une importance notable eu égard au versement d’une prestation périodique telle qu’une rente (cf. ATF 119 V 475 consid. 1c ; TF 8C_338/2019 du 8 mai 2020 consid. 5). d) Enfin, comme exposé ci-dessus (cf. supra consid. 6b), la situation n’a pas évolué sur le plan médical depuis les décisions des 18 octobre et 15 novembre 2019 de l’intimé. Il n’y a donc pas lieu d’examiner si un éventuel droit à la rente serait né dans l’intervalle, à défaut de l’existence d’un motif de révision au sens de l’art. 17 LPGA (cf. supra consid. 4). Qui plus est, il ne se justifie pas de donner suite à la demande du 25 juin 2024 de la recourante tendant à la suspension de la procédure</w:t>
      </w:r>
    </w:p>
    <w:p>
      <w:r>
        <w:t>- 14 - dans l’attente des résultats de nouveaux examens médicaux. Cette requête vise en effet l’établissement de faits postérieurs à la décision litigieuse, lesquels ne sont pas de nature à influer sur les précédentes considérations (cf. ATF 144 V 210 consid. 4.3.1 ; 99 V 98 consid. 4).</w:t>
      </w:r>
    </w:p>
    <w:p>
      <w:r>
        <w:rPr>
          <w:b/>
        </w:rPr>
        <w:t>E. 7</w:t>
      </w:r>
    </w:p>
    <w:p>
      <w:r>
        <w:t>a) En définitive, le recours, mal fondé, doit être rejeté. La décision rendue le 17 janvier 2024 par l’intimé – en tant qu’elle prononce la suppression de la demi-rente d’invalidité de la recourante – doit être confirmée par substitution de motifs, dès lors que l'octroi de cette prestation était manifestement erroné. C’est également à juste titre que cette autorité a prononcé cette suppression à partir du premier jour du deuxième mois suivant la notification de la décision, à savoir le 1er mars 2024, conformément à l’art. 88bis al. 2 RAI.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