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ZD24.006611 vom 23. Oktober 2024</w:t>
      </w:r>
    </w:p>
    <w:p>
      <w:r>
        <w:t>VD Tribunal cantonal, 2024-10-23, FR</w:t>
      </w:r>
    </w:p>
    <w:p>
      <w:r>
        <w:rPr>
          <w:b/>
        </w:rPr>
        <w:t xml:space="preserve">Quelle: </w:t>
      </w:r>
      <w:r>
        <w:t>https://mcp.opencaselaw.ch/entscheid/vd_gerichte_ZD24.006611</w:t>
      </w:r>
    </w:p>
    <w:p>
      <w:r>
        <w:t>FR: VD_GERICHTE ZD24.006611 du 23 octobre 2024</w:t>
      </w:r>
    </w:p>
    <w:p>
      <w:r>
        <w:t>IT: VD_GERICHTE ZD24.006611 del 23 ottobre 2024</w:t>
      </w:r>
    </w:p>
    <w:p>
      <w:pPr>
        <w:pStyle w:val="Heading2"/>
      </w:pPr>
      <w:r>
        <w:t>Erwägungen</w:t>
      </w:r>
    </w:p>
    <w:p>
      <w:r>
        <w:rPr>
          <w:b/>
        </w:rPr>
        <w:t>E. 28</w:t>
      </w:r>
    </w:p>
    <w:p>
      <w:r>
        <w:t>al. 1 et 29 al. 1 LAI). Le nouveau droit est donc applicable.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- 8 - être exigée de lui après les traitements et les mesures de réadaptation, sur un marché du travail équilibré (revenu avec invalidité ; art. 16 LPGA).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w:t>
      </w:r>
    </w:p>
    <w:p>
      <w:r>
        <w:t>- 9 -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5. En l’espèce, l’intimé a estimé que les rapports des psychiatres traitants versés au dossier ne contenaient pas suffisamment d’éléments pour adhérer à leur appréciation. Il a ainsi mis en œuvre un examen clinique psychiatrique auprès du SMR, qui a été réalisé le 22 septembre</w:t>
      </w:r>
    </w:p>
    <w:p>
      <w:r>
        <w:t>- 10 - 2023 par le Dr P.________, et sur lequel il s’est fondé pour rendre la décision attaquée. Ce dernier rejoint l’avis des psychiatres traitants quant au fait que la recourante présente, depuis le 30 juillet 2021, une incapacité de travail totale dans son ancienne activité de gouvernante en raison de troubles psychiques. En revanche, son avis diverge de celui des psychiatres traitants concernant les diagnostics et la capacité de travail résiduelle de la prénommée. Les médecins de G.________ ont retenu les diagnostics incapacitants de personnalité émotionnellement labile, de trouble panique et de trouble dépressif récurrent, de degré moyen, qui était en rémission en juin 2023. A cette date, ils ont en outre posé le diagnostic d’anxiété généralisée, qui n’avait pas été retenu précédemment. Le Dr P.________ a quant à lui posé le diagnostic de trouble mixte de la personnalité. A l’instar des médecins de G.________, il a noté la présence de traits de caractère de la personnalité émotionnellement labile de type impulsif mais il était d’avis que la recourante présentait d’autres traits de caractère, à savoir des traits de personnalité anankastique et anxieuse ainsi que des traits paranoïaques et histrioniques dans une moindre mesure. Il a aussi relevé une certaine conflictualité dans les relations interpersonnelles depuis l’adolescence. A cet égard, il a précisé qu’au cours de la dernière activité professionnelle exercée par la recourante, cette conflictualité avait probablement été compensée par les traits obsessionnels avec la perspective d’être sécurisée au niveau financier par son employeur jusqu’à la retraite. Le Dr P.________ a ajouté que le licenciement de la recourante avait provoqué une forte déception pour elle et son mari et des traits de personnalité s’étaient alors décompensés, avec également une majoration dans le contexte de symptômes dépressifs et anxieux. Ce trouble de la personnalité avait été plus ou moins compensé au cours de la vie de la recourante et présentait selon le Dr P.________ un caractère durablement incapacitant (p. 9 et 11 de son rapport du 8 novembre 2023).</w:t>
      </w:r>
    </w:p>
    <w:p>
      <w:r>
        <w:t>- 11 - Le Dr P.________ a aussi retenu la présence d’un trouble obsessionnel compulsif, avec incidence sur la capacité de travail, alors que les médecins de G.________ ont exclu ce diagnostic. Dans le rapport du 25 mars 2024 produit au stade du recours, la psychologue D.________ a relevé que la recourante portait une forte attention à la propreté et au ménage, qui variait selon les périodes, et qui l’aidait à calmer son anxiété, mais qu’il ne s’agissait pas d’un trouble obsessionnel compulsif. Le Dr P.________ a quant à lui expliqué que la recourante présentait des pensées obsédantes et des comportements compulsifs centrés sur la propreté et le rangement que la prénommée n’arrivait pas à combattre et qui pouvaient entraîner des conflits avec son entourage. Selon lui, ce trouble obsessionnel compulsif influençait de façon réciproque le trouble de la personnalité. Il a émis un pronostic positif avec l’instauration d’une psychothérapie spécifique du trouble de la personnalité mais aussi du trouble compulsif obsessionnel et avec la prise d’un traitement anti-dépresseur de type ISRS (inhibiteurs sélectifs de la recapture de la sérotonine) à doses élevées. Il y a lieu de relever à ce stade que les constatations et observations des médecins de G.________ et du Dr P.________ sont diamétralement opposées quant à l’existence ou non d’un trouble obsessionnel compulsif et qu’il n’est pas possible de les départager sans connaissances médicales spécialisées. En l’état du dossier, l’appréciation diagnostique du Dr P.________ ne peut ainsi pas être confirmée, ni du reste son appréciation sur l’incidence de ce trouble sur la capacité de travail de la recourante. S’agissant des autres diagnostics posés par les médecins de G.________, qui ont été écartés par le Dr P.________, les rapports versés au dossier ne permettent pas non plus de trancher. Le Dr P.________ a exclu la présence d’un trouble panique au motif que les attaques de panique étaient exclusivement associées à des situations particulières. Il a ajouté que la recourante avait davantage évoqué des crises de colère à mettre en lien avec le trouble de la</w:t>
      </w:r>
    </w:p>
    <w:p>
      <w:r>
        <w:t>- 12 - personnalité que des crises d’angoisses. Cependant les médecins de G.________ ont mentionné que la recourante avait des crises d’angoisse inattendues, que les attaques d’anxiété ne survenaient pas exclusivement dans une situation particulière ou dans des circonstances déterminées, et que l’appréhension des attaques de paniques avaient engendré chez la recourante une difficulté, voire une quasi-incapacité de sortir de chez elle seule, sans son mari (rapport du 3 aout 2022 du Dr W.________ et rapport du 7 décembre 2022 du Dr B.________). Le Dr P.________ a aussi écarté le diagnostic d’anxiété généralisée, sans vraiment motiver son avis, puisqu’il a simplement indiqué que l’anxiété flottante pouvait raisonnablement s’intégrer dans les traits anxieux du trouble de la personnalité. Le Dr P.________ a motivé davantage son appréciation concernant le trouble dépressif récurrent posé par les médecins de G.________. Il a exposé que ces derniers avaient retenu des antécédents d’épisodes dépressifs à partir des allégations de la recourante. A cet égard, il a relevé que la prénommée avait effectivement mentionné des épisodes de tristesse dans le contexte de facteurs de stress au cours de sa vie, sans qu’il ait été possible d’objectiver les critères diagnostics d’un épisode dépressif. Pour lui, il était raisonnable de considérer que la recourante avait présenté des troubles de l’adaptation dans un contexte de trouble de la personnalité. Il a aussi mis en évidence que les médecins de G.________ relevaient en août 2022 que la thymie et les émotions de la recourante fluctuaient en fonction du contexte et des événements de vie, ce qui parlait en défaveur d’un épisode dépressif étant donné que l’humeur dépressive était peu ou pas influencée par les événements. S’il est vrai que le dossier ne comporte pas de rapports médicaux antérieurs faisant état d’épisodes dépressifs présentés par la recourante dans le passé, la prénommée n’ayant jamais consulté de psychiatre ou de psychologue avant 2020 comme l’a relevé le Dr P.________, les médecins de G.________ ont cependant retenu, sur la base de leurs observations, que la recourante présentait un épisode dépressif de degré moyen au début de la prise en charge, lequel était en rémission en juin 2023. L’appréciation</w:t>
      </w:r>
    </w:p>
    <w:p>
      <w:r>
        <w:t>- 13 - divergente du Dr P.________, qui retient un trouble de l’adaptation, apparaît insuffisamment motivée dans la mesure où il ne discute pas les autres symptômes dépressifs évoqués par les médecins traitants. Précisons encore que l’avis des médecins de G.________ ne peut pas non plus être suivi, dans la mesure où leur appréciation diagnostique est peu étayée et que les éléments soulevés par le Dr P.________ sont de nature à faire douter de leurs conclusions. Par ailleurs, les médecins traitants n’ont pas examiné la capacité de travail de la recourante à l’aune du catalogue d’indicateurs posés par la jurisprudence et n’ont notamment pas pris en considération les ressources de la prénommée dans leur évaluation de la capacité de travail, alors que leurs constatations dénotent qu’elle en dispose. Pour le surplus, l’instruction paraît incomplète également sur la question de l’exigibilité d’un traitement adéquat et susceptible d’améliorer la capacité de travail de la recourante. A cet égard, le Dr P.________ a indiqué que le traitement suivi par la prénommée n’avait pas respecté les règles de l’art et a suggéré un traitement qui pourrait améliorer la capacité de travail de la prénommée sans toutefois préciser dans quelle mesure et quel délai. Au vu de ce qui précède, une instruction complémentaire s’avère nécessaire et une expertise psychiatrique doit être ordonnée afin de poser des diagnostics dûment étayés, départager les avis médicaux au dossier et procéder à une évaluation conforme à la jurisprudence de la capacité de travail de la recourante. L’expertise devra en outre examiner l’exigibilité d’un traitement plus adapté et son incidence sur la capacité de travail, questions qui n’ont pas fait l’objet d’un éclaircissement de la part de l’intimé. Il se justifie par conséquent d’ordonner le renvoi de la cause à l’OAI, à qui il appartient au premier chef d’instruire, conformément au principe inquisitoire qui régit la procédure dans le domaine des assurances sociales selon l’art. 43 al. 1 LPGA, pour qu’elle ordonne une expertise</w:t>
      </w:r>
    </w:p>
    <w:p>
      <w:r>
        <w:t>- 14 - psychiatrique conformément à l’art. 44 LPGA, puis rende une nouvelle décision. 6. a) En conclusion, le recours doit être admis et la décision attaquée annulée, la cause étant retournée à l’intimé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le sort du recours. c) Il n’y a pas lieu d’allouer de dépens à la recourante qui a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