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ZD24.006244 vom 15. April 2025</w:t>
      </w:r>
    </w:p>
    <w:p>
      <w:r>
        <w:t>VD Tribunal cantonal, 2025-04-15, FR</w:t>
      </w:r>
    </w:p>
    <w:p>
      <w:r>
        <w:rPr>
          <w:b/>
        </w:rPr>
        <w:t xml:space="preserve">Quelle: </w:t>
      </w:r>
      <w:r>
        <w:t>https://mcp.opencaselaw.ch/entscheid/vd_gerichte_ZD24.006244</w:t>
      </w:r>
    </w:p>
    <w:p>
      <w:r>
        <w:t>FR: VD_GERICHTE ZD24.006244 du 15 avril 2025</w:t>
      </w:r>
    </w:p>
    <w:p>
      <w:r>
        <w:t>IT: VD_GERICHTE ZD24.006244 del 15 aprile 2025</w:t>
      </w:r>
    </w:p>
    <w:p>
      <w:pPr>
        <w:pStyle w:val="Heading2"/>
      </w:pPr>
      <w:r>
        <w:t>Erwägungen</w:t>
      </w:r>
    </w:p>
    <w:p>
      <w:r>
        <w:rPr>
          <w:b/>
        </w:rPr>
        <w:t>E. 3</w:t>
      </w:r>
    </w:p>
    <w:p>
      <w:r>
        <w:t>Le litige porte sur le droit du recourant à une rente d’invalidité au-delà du 30 septembre 2023.</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- 14 -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w:t>
      </w:r>
    </w:p>
    <w:p>
      <w:r>
        <w:t>- 15 - avec effet rétroactif, une rente d’invalidité temporaire ou échelonnée (ATF 145 V 209 consid. 5.3 ; 131 V 164 consid. 2.2 ; 125 V 413 consid. 2d). d)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131 V 362 consid. 2.2.1 et 2.2.2).</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- 16 -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- 17 -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6</w:t>
      </w:r>
    </w:p>
    <w:p>
      <w:r>
        <w:t>a) En l’espèce, l’intimé a reconnu le droit du recourant à une rente entière d’invalidité pour la période du 1er février 2018 au 30 septembre 2023, basé sur un degré d’invalidité de 100 %. Il n’est par ailleurs pas contesté que l'intéressé n'est plus en mesure d'exercer son activité habituelle d’installateur sanitaire, laquelle n'est plus adaptée. Est en revanche litigieux le point de savoir si c’est à juste titre que l’intimé retient que, dès le 13 juin 2023, la capacité de travail de l’assuré est entière dans une activité adaptée à ses limitations fonctionnelles, à savoir pas d’activité en force de la main gauche (membre dominant), pas de port de charge répété de plus de 15-20 kg, pas de port de charge unique de plus de 25 kg, pas de marche en terrain irrégulier, pas de marche</w:t>
      </w:r>
    </w:p>
    <w:p>
      <w:r>
        <w:t>- 18 - prolongée même en terrain plat, pas de montée/descente répétée d'escaliers, échelles, échafaudages et pas de position accroupie ou à genoux prolongée et/ou répétée. Le recourant reproche à l’intimé de ne pas avoir tenu compte de tous ses problèmes de santé et de s’être fondé sur des éléments médicaux incomplets et partiels produits par la CNA. A l’appui de son recours, il fait valoir qu’il produira des rapports médicaux démontrant ses nombreuses atteintes à la santé, en mentionnant notamment une hospitalisation en urgence pour des problèmes cardiaques. b) Les atteintes à la santé physique de l’assuré étant d’origine accidentelle, la décision entreprise se fonde principalement sur le dossier de la CNA. L’avis du SMR du 5 octobre 2023 justifiant la décision de l’intimé s’appuie plus particulièrement sur l’appréciation du 21 juin 2023 de la Dre X.________, médecin-conseil de la CNA. Il y a lieu de souligner à titre liminaire que le fait pour l’OAI de se fonder essentiellement sur les éléments médicaux rassemblés par la CNA n’est pas critiquable en soi. La seule exigence en matière d’instruction est que l’autorité concernée dispose d’un dossier suffisamment complet pour statuer en pleine connaissance de cause sur le droit aux prestations. En l’occurrence, la principale question à élucider par l’intimé relève de l’éventuelle capacité résiduelle de travail du recourant dans une activité adaptée et la date éventuelle à partir de laquelle cette activité adaptée est exigible. L’instruction conduite par la CNA visant à établir les mêmes éléments, l’OAI était sur le principe, compte tenu de l’uniformité de la notion d’invalidité (cf. consid. 4d supra), fondé à se baser sur le dossier médical constitué par l’assureur-accidents. Cela étant, avant de statuer sur les droits de l’assuré aux prestations de l’assurance- invalidité, l’intimé a bel et bien pris en compte tous les avis médicaux concernant l’ensemble des atteintes qu’il présente. En l’occurrence, le cas de l'assuré a été soumis le 21 juin 2023 à la médecin-conseil de la CNA, la Dre X.________, qui a établi une</w:t>
      </w:r>
    </w:p>
    <w:p>
      <w:r>
        <w:t>- 19 - anamnèse de l’ensemble des rapports médicaux émis par les médecins traitants depuis l’accident du 18 mars 2018. Elle a posé ses diagnostics et émis son appréciation dans laquelle elle a déterminé les limitations fonctionnelles suivantes : pas de port de charge répété de plus de 15-20 kg, pas de port de charge unique de plus de 25 kg, pas de marche en terrain irrégulier, pas de marche prolongée même en terrain plat, pas de montée/descente répétée d’escaliers, échelles et échafaudages, pas de position accroupie ou à genoux prolongée et/ou répétée. Après avoir résumé l’ensemble des traitements médicaux reçus par l’assuré, elle a considéré qu’une amélioration significative de l’état de santé au niveau du calcanéum gauche était peu vraisemblable à plus de cinq ans du traumatisme initial et après six interventions chirurgicales. Elle a estimé que dans une activité adaptée théorique, respectant les limitations fonctionnelles, l’assuré avait une pleine capacité de travail, sans diminution de rendement, dès trois mois après la dernière intervention, à savoir dès le 13 juin 2023, s’agissant d’une intervention minimale. Le rapport de la Dre X.________ est ainsi fondé sur un dossier complet et ses conclusions, claires et étayées, sont convaincantes. Au vu de ce qui précède, il y a lieu de constater que l'intimé a rendu sa décision en se fondant sur un avis du SMR reprenant les conclusions de l'examen complet et probant de la médecin-conseil de la CNA. Il a en outre retenu des limitations fonctionnelles plus étendues afin de tenir compte de l’atteinte à la main gauche ayant motivé diverses prises en charge dont en particulier un séjour à la Clinique Z.________ en 2016, une intervention chirurgicale en juillet 2016 et des infiltrations en 2017 (Pas d’activité en force de la main gauche [membre dominant]). La critique du recourant selon laquelle l'intimé se serait basé sur des éléments médicaux incomplets et partiels ne saurait ainsi être suivie. On rappellera par ailleurs que les avis SMR opèrent une synthèse de la documentation médicale à disposition et ne sont pas dénués de valeur probante. Ils peuvent servir de socle à l’appréciation de l’administration ou du tribunal pour autant que leur fiabilité ne soit pas mise en doute (cf. consid. 5d supra), ce qui est le cas en l'espèce.</w:t>
      </w:r>
    </w:p>
    <w:p>
      <w:r>
        <w:t>- 20 - c) Par ailleurs, contrairement à ce qu’il avait annoncé, le recourant n’a produit aucun rapport faisant état de nouvelles atteintes qui n’auraient pas été prises en compte par l’OAI, en particulier concernant des atteintes cardiaques dont il se prévaut dans son recours. Les rapports des 22 septembre 2023 et 10 juin 2024 de la Dre K.________ ne sont par ailleurs d’aucun secours au recourant. En effet, celle-ci se limite à reprendre les atteintes déjà examinées par l’OAI s’agissant de l’atteinte au pied gauche et ne fait pas état de limitations fonctionnelles supplémentaires ou qui auraient été omises par l’intimé. De même, elle ne retient aucune limitation fonctionnelle, que ce soit en lien avec le diagnostic de hernie discale ou avec l’état dépressif relevé dans son rapport du 10 juin 2024, qui est au demeurant postérieur à la décision litigieuse. En tout état de cause, elle ne fait état d’aucune limitation fonctionnelle que l’intimé aurait omis de prendre en compte et ne se prononce pas sur la capacité de travail résiduelle de l’assuré. Faute de motivation, les rapports de la Dre K.________ ne permettent pas de s’écarter de l’avis de la CNA, respectivement du SMR, suivis par l’intimé. d) En conclusion, l’intimé était fondé à retenir que le recourant a présenté une incapacité de travail totale dès le 26 juin 2015, mais qu’il pouvait, dès le 13 juin 2023, reprendre une activité professionnelle adaptée à ses limitations fonctionnelles. C’est dès lors à juste titre que l’OAI a accordé au recourant une rente d’invalidité de 100 % pour la période du 1er février 2018 – compte tenu d’une demande de prestations tardive déposée le 3 août 2017 – au 30 septembre 2023. Quant au grief soulevé par le recourant concernant le décompte de surindemnisation établi le 7 décembre 2023 par la CNA – outre le fait qu’il est peu compréhensible et qu’il ne fait en définitive l’objet d’aucune conclusion formelle – il est irrecevable. Il appartient en effet au recourant d’attaquer le bien-fondé de la restitution et l’étendue de celle-ci directement auprès de l’assureur-accidents (TF 9C_232/2016 du 1er septembre 2016 consid 5.2 ; 9C_287/2014 du 16 juin 2014 consid 2.2 et les références citées).</w:t>
      </w:r>
    </w:p>
    <w:p>
      <w:r>
        <w:t>- 21 -</w:t>
      </w:r>
    </w:p>
    <w:p>
      <w:r>
        <w:rPr>
          <w:b/>
        </w:rPr>
        <w:t>E. 7</w:t>
      </w:r>
    </w:p>
    <w:p>
      <w:r>
        <w:t>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