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ZD24.004559 vom 17. Dezember 2024</w:t>
      </w:r>
    </w:p>
    <w:p>
      <w:r>
        <w:t>VD Tribunal cantonal, 2024-12-17, FR</w:t>
      </w:r>
    </w:p>
    <w:p>
      <w:r>
        <w:rPr>
          <w:b/>
        </w:rPr>
        <w:t xml:space="preserve">Quelle: </w:t>
      </w:r>
      <w:r>
        <w:t>https://mcp.opencaselaw.ch/entscheid/vd_gerichte_ZD24.004559</w:t>
      </w:r>
    </w:p>
    <w:p>
      <w:r>
        <w:t>FR: VD_GERICHTE ZD24.004559 du 17 décembre 2024</w:t>
      </w:r>
    </w:p>
    <w:p>
      <w:r>
        <w:t>IT: VD_GERICHTE ZD24.004559 del 17 dicembre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- 13 -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d)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t>- 14 -</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Cela étant, la jurisprudence attache une présomption d’objectivité aux expertises confiées par l’administration à des médecins spécialisés externes ainsi qu’aux expertises judiciaires pour résoudre un</w:t>
      </w:r>
    </w:p>
    <w:p>
      <w:r>
        <w:t>- 15 -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5</w:t>
      </w:r>
    </w:p>
    <w:p>
      <w:r>
        <w:t>a) En l’espèce, l’intimé a retenu que la recourante a présenté une capacité de travail réduite dans toutes activités dès mai 2019, en raison de symptômes mis sur le compte d’une atteinte psychique, puis que son état de santé s’était progressivement amélioré une fois le diagnostic de maladie de Parkinson posé et un traitement adéquat mis en œuvre,</w:t>
      </w:r>
    </w:p>
    <w:p>
      <w:r>
        <w:t>- 16 - permettant une capacité de travail de 50 % dans l’activité habituelle et de 80 % dans une activité adaptée dès janvier 2021. L’intimé s’est fondé notamment sur l’avis du SMR du 20 janvier 2023, lequel se ralliait aux conclusions de l’expertise neurologique du Dr N.________ du 29 décembre 2022. Cela étant, il est constant que la recourante ne présente plus d’atteinte à la santé invalidante sur le plan psychique depuis janvier 2021. Il a été déterminé que les premières manifestations de la maladie neurologique en 2019 étaient accompagnées d’une symptomatologie d’ordre psychique, puis que la confirmation du diagnostic de maladie de Parkinson a nécessité le maintien d’un suivi psychothérapeutique de soutien. Cependant, la Dre U.________ a indiqué dans son rapport du 5 mai 2021 que l’état psychique de la recourante s’était amélioré et n’induisait aucune incapacité de travail ni limitation fonctionnelle, car il était à mettre en relation avec l’évolution de la maladie neurologique. La psychiatre traitante a confirmé que l’état psychique était stable dans la mesure où la maladie de Parkinson était stable dans son rapport du 5 avril 2022. b) Pour procéder à son expertise neurologique, le Dr N.________ a disposé de l’ensemble des pièces versées au dossier de la cause (cf. ch. 2.1 et 4 du rapport d’expertise du 29 décembre 2022), parmi lesquelles figuraient en particulier les rapports des médecins traitants et des autres spécialistes qui ont examiné la recourante depuis le dépôt de sa demande de prestations. Il s’est entretenu avec la recourante et l’a examinée, au cours d’une entrevue qui a duré 1 heure 30 au total. Dans son rapport, l’expert a d’abord relaté les informations obtenues au cours de l’entretien (ch. 3.1), incluant les indications fournies spontanément par la recourante et les informations obtenues au cours d’un entretien dirigé portant notamment sur le parcours de vie, la journée-type, les antécédents médicaux, les traitements en cours ainsi que l’état de santé actuel. Il a ensuite exposé les constats opérés au cours de l’examen neurologique (ch. 3.2), avant de poser son diagnostic (cf. 3.5 et 3.6), motiver son évaluation du cas (ch. 3.7 à 3.10) et répondre aux questions du mandat.</w:t>
      </w:r>
    </w:p>
    <w:p>
      <w:r>
        <w:t>- 17 - Cette expertise remplit ainsi l’ensemble des réquisits de la jurisprudence en matière de valeur probante. c) La recourante a admis qu’elle disposait d’une capacité de travail de 50 % dans son activité habituelle depuis janvier 2021. Elle a en revanche contesté l’existence d’une capacité de travail plus élevée dans une activité adaptée, en arguant principalement que son activité habituelle de coiffeuse constituait une activité particulièrement adaptée à son état de santé et présentait les mêmes caractéristiques que les activités citées en exemple par l’intimé. Cette argumentation ne peut être suivie. En effet, la recourante omet un élément important des limitations fonctionnelles mises en exergue tant par l’expert de J.________ que par les Drs M.________ et B.________, à savoir la diminution de sa dextérité. Le Dr N.________ a expressément exposé que le manque de dextérité entraînait une diminution de 20 % de son rendement dans l’activité de coiffeuse (cf. 3.11 du rapport d’expertise). Il est manifeste que le métier de coiffeuse nécessite une dextérité fine bien plus élevée que de nombreuses autres activités présentant par ailleurs les mêmes caractéristiques en termes de positionnement du corps, de sollicitation des membres ou de force physique. Il a également été relevé au cours de l’évaluation économique que la recourante ne pouvait, dans son activité de coiffeuse, se ménager des temps de repos au cours de sa journée de travail ni organiser son travail en fonction de son état de fatigue. Il ne saurait ainsi être considéré que l’activité de coiffeuse indépendante exercée par la recourante constitue une activité adaptée aux limitations fonctionnelles induites par la maladie de Parkinson. d) Pour le surplus, la recourante n’a soulevé aucun argument d’ordre médical susceptible de contredire les conclusions du Dr N.________. Dans son rapport du 3 mai 2022, la Dre B.________ a conclu que la capacité de travail de la recourante était de l’ordre de 50 % dans toutes activités. Elle a indiqué à cet égard que la diminution du rendement</w:t>
      </w:r>
    </w:p>
    <w:p>
      <w:r>
        <w:t>- 18 - induite par la maladie compenserait une éventuelle augmentation du temps de travail, en précisant que les limitations fonctionnelles était une bradykinésie, une diminution de la dextérité et des tremblements, induisant une diminution de la performance. Le Dr D.________ évoquait également une capacité de travail dans une activité adaptée peu différente de la capacité de travail dans l’activité habituelle, en raison de la fatigabilité et de polyarthralgies dans son rapport du 5 mai 2021. Dans son rapport du 28 avril 2022, ce médecin mentionnait une capacité de travail équivalente dans toute activité, en mentionnant comme limitations fonctionnelles des crampes, une fatigabilité musculaire et des troubles de la concentration. Le Dr M.________ s’est prononcé pour la première fois sur ce sujet le 20 septembre 2022 et a déterminé une capacité de travail de 60 à 100 % dans l’activité habituelle, selon la fatigabilité éventuelle et la gêne lors de la manipulation des ciseaux, respectivement de 100 % dans une activité ne nécessitant pas de mobilité fine de la main droite. Il n’y avait en effet pas d’autre limitation objective qu’une minime diminution de la dextérité de la main droite, grâce à un traitement optimal. Dans ses précédents rapports, ce spécialiste avait fait état d’une symptomatologie parkinsonienne très faible dès le début du traitement. Ainsi, il constatait le 26 janvier 2021 que sa patiente était « pour ainsi dire pas Parkinsonienne » et qu’elle rapportait une très nette amélioration motrice avec une dextérité de la main droite revenue et un arrêt de la boiterie, sous réserve d’une discrète entrave au niveau moteur à la jambe droite. Le 15 juillet 2021, le spécialiste relevait que sa patiente se disait très satisfaite du traitement et n’avait pas de fluctuations motrices, se plaignant uniquement de quelques sensations paresthésiques de l’hémicorps droit après avoir été vaccinée. L’expertise a été mise en œuvre précisément en raison de la divergence entre l’avis du Dr M.________ et ceux des Drs B.________ et D.________. En l’occurrence, les conclusions du Dr N.________ sur la capacité de travail rejoignent celles du Dr M.________. Il convient de relever que les constatations objectives des Drs B.________ et D.________, de même</w:t>
      </w:r>
    </w:p>
    <w:p>
      <w:r>
        <w:t>- 19 - que les plaintes de la patiente dont ils ont fait état dans leurs rapports, sont superposables aux observations faites par les Drs M.________ et N.________. Il en ressort que, dans l’ensemble, les symptômes de la maladie sont très discrets depuis janvier 2021, entraînant principalement une légère diminution de la motricité fine de la recourante ainsi qu’une plus grande fatigabilité, ce qui ne permet pas d’objectiver une incapacité de travail de 50 % dans une activité adaptée aux limitations fonctionnelles. Cela étant, il faut rappeler que le Dr D.________ est le médecin généraliste traitant de la recourante depuis 2019 à tout le moins et que la Dre B.________ la suit pour sa maladie neurologique depuis août 2020, alors que le Dr M.________ n’a été consulté que ponctuellement en sa qualité de neurologue spécialiste de la maladie de Parkinson, pour confirmer le diagnostic et faire des propositions de traitement. Une relation thérapeutique plus forte entre la recourante et les Drs D.________ et B.________ a pu influencer leur évaluation de la capacité de travail. e) Ainsi, il faut constater que les différents rapports établis par les Drs B.________ et D.________ ne remettent pas sérieusement en doute les conclusions de l’expertise du Dr N.________. L’intimé était ainsi légitimé à fonder sa décision sur les conclusions de ce spécialiste et à retenir, selon les recommandations du SMR, que la recourante présentait dès janvier 2021 une capacité de travail de 50 % dans son activité de coiffeuse et de 80 % dans une activité adaptée à ses limitations fonctionnelles. Il n’y a pas lieu à cet égard, comme l’a fait l’intimé, de retenir une capacité de travail plus élevée dans l’activité habituelle sur la base des déclarations de la recourante. Même si la diminution de la dextérité, médicalement attestée, est qualifiée de légère, elle est susceptible d’entraîner une diminution du rendement et d’amener une plus grande fatigabilité dans l’exercice d’une activité exigeant de l’habileté et de la minutie comme celle de coiffeuse.</w:t>
      </w:r>
    </w:p>
    <w:p>
      <w:r>
        <w:rPr>
          <w:b/>
        </w:rPr>
        <w:t>E. 6</w:t>
      </w:r>
    </w:p>
    <w:p>
      <w:r>
        <w:t>La recourante a insisté sur le caractère particulièrement adapté de son activité de coiffeuse, remettant en cause l’exigibilité d’un changement de profession.</w:t>
      </w:r>
    </w:p>
    <w:p>
      <w:r>
        <w:t>- 20 -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138 I 205 consid. 3.2 ;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aa) S’agissant de l’âge, la jurisprudence tient compte de l’âge de l’assuré au moment où l’exigibilité de l’exercice d’une activité adaptée a été constatée (ATF 143 V 431 consid. 4.5.1 ; 138 V 457 consid. 3.3 ; TF 9C_839/2017 du 24 avril 2017 consid. 6.2). Elle reconnaît en général qu’à partir de 60 ans, il convient de se poser la question de savoir si, compte tenu des autres circonstances du cas particulier, il existe encore une possibilité réaliste de mise en valeur de la capacité résiduelle de travail sur le marché concret (cf. TF 9C_918/2008 du 28 mai 2009 consid. 4.2.2 ; 9C_437/2008 du 19 mars 2009 consid. 4.2 et 4.4) ; avant cet âge, il n’y a pas lieu de considérer qu’il existe des difficultés de réinsertion sur le marché du travail du seul fait de l’âge (cf. TF 9C_839/2017 du 24 avril 2017 consid. 6.2 ; 9C_789/2016 du 5 avril 2017 consid. 5.2 ; TF 9C_355/2011 du 8 novembre 2011 consid. 4.4 ; 9C_578/2009 du 20</w:t>
      </w:r>
    </w:p>
    <w:p>
      <w:r>
        <w:t>- 21 - décembre 2009 consid. 4.3.2). Dans tous les cas, le caractère inexploitable de la capacité de travail résiduelle ne sera admis que lorsque l'activité raisonnablement exigible n'est possible que sous une forme si limitée que le marché du travail équilibré ne la connaît pratiquement pas ou qu'elle ne serait possible qu'au prix d'une concession irréaliste de la part d'un employeur moyen et que la recherche d'un emploi correspondant apparaît donc d'emblée comme exclue (TF 9C_366/2021 du 3 janvier 2022 consid. 4.2 ; 9C_644/2019 du 20 janvier 2020 consid. 4.2 et les références citées). En effet, le marché du travail équilibré est une notion théorique, qui présuppose un équilibre entre l'offre et la demande de main-d'œuvre, d'une part, et un marché du travail structuré (permettant d'offrir un éventail d'emplois diversifiés, au regard des sollicitations tant intellectuelles que physiques), d'autre part (TF 8C_772/2020 du 9 juillet 2021 consid. 3.3). bb)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(9C_236/2009 du</w:t>
      </w:r>
    </w:p>
    <w:p>
      <w:r>
        <w:rPr>
          <w:b/>
        </w:rPr>
        <w:t>E. 7</w:t>
      </w:r>
    </w:p>
    <w:p>
      <w:r>
        <w:t>Un changement d’activité étant exigible, il convient encore d'examiner si la recourante subit un préjudice économique. a) Chez les assurés actifs, le degré d’invalidité doit en principe être déterminé sur la base d’une comparaison des revenus (art. 16 LPGA ; cf. consid. 3c ci-dessus).</w:t>
      </w:r>
    </w:p>
    <w:p>
      <w:r>
        <w:t>- 24 -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w:t>
      </w:r>
    </w:p>
    <w:p>
      <w:r>
        <w:t>- 25 -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Il est admis que le délai d’attente d’une année de l’art. 28 al. 1 LAI a débuté le 27 mai 2019, pour prendre fin en mai 2020. Durant cette période, le taux d’incapacité de travail a fluctué et s’élevait à 50 % en mai 2020. Cependant, compte tenu du dépôt de la demande de prestations en octobre 2020, le droit à la rente ne pouvait pas prendre naissance avant le 1er avril 2021. Or, l’incapacité de travail de la recourante a encore connu des fluctuations pour s’établir à 90 % dans toutes activités en décembre 2020. Puis, comme déterminé par l’expertise, une amélioration s’est installée durablement dès janvier 2021 avec l’instauration du traitement de la maladie neurologique dans le courant de l’automne 2020. Conformément à l’art. 88a al. 1 RAI, cette amélioration pouvait entraîner une modification du droit à la rente dès le 1er avril 2021, de sorte que le préjudice doit être calculé sur la base de la situation valable dès janvier 2021.</w:t>
      </w:r>
    </w:p>
    <w:p>
      <w:r>
        <w:t>- 26 - aa) La recourante n’a pas contesté le recours à la méthode ordinaire de comparaison des revenus. Cette méthode s’imposait en effet. Dès lors que sa capacité de travail de l’intéressée ne peut pas être mise pleinement en valeur dans le maintien de son activité indépendante et qu’un changement d’activité est exigible, le recours à la méthode extraordinaire est exclu (cf. TF 9C_609/2009 du 15 avril 2010 consid. 7.3 ; 8C_748/2008 du 10 juin 2009 consid. 4.2.2). bb) La recourante a critiqué le revenu sans invalidité retenu par l’intimé, au motif qu’il n’était pas réaliste compte tenu de l’impact de la pandémie de Covid-19 sur son domaine d’activité. Cet argument tombe à faux. L’enquête économique a retenu un revenu sans invalidité de 47'892 fr. sur la moyenne des bénéfices nets des années 2014 à 2018, après ajout des cotisations AVS, soit une période largement antérieure à la pandémie de Covid-19. Pour procéder au calcul valable pour 2021, l’intimé a repris ce montant et l’a indexé. Fondé sur la moyenne des revenus obtenus par la recourante sur les cinq années précédant l’apparition de sa maladie, le montant de 47'892 fr. déterminé dans l’évaluation économique en tant que revenu sans invalidité moyen ne prête pas le flanc à la critique. L’intimé n’a cependant pas spécifié la méthode d’indexation appliquée, de sorte que le montant de 47'859 fr. ne peut être vérifié. Lorsqu’il s’agit d’un revenu moyen sur plusieurs années, la jurisprudence admet de procéder à l’indexation sur la valeur moyenne (TF 9C _771/2017 du 29 mars 2018 consid. 3.6.2). En l’espèce, le montant de 47'892 fr. correspond à la valeur 2016 (moyenne 2014 à 2018), qu’il faut indexer à 2021 en se référant aux variations annuelles des salaires nominaux pour une femme (table T39 de l’Office fédéral de la statistique) pour les années 2017 à 2021, à savoir successivement 0,4 %, 0,5 %, 1,0 %, 0,9 % et 0,6 %. Le revenu sans invalidité pertinent était par conséquent de 49'541 fr. 97 en 2021. bb) S’agissant du montant retenu à titre de revenu avec invalidité, l’intimé s’est fondé sur l’ESS 2020, TA1_skill_level, niveau de compétence 1, tous secteurs confondus pour une femme, indexé à 2021.</w:t>
      </w:r>
    </w:p>
    <w:p>
      <w:r>
        <w:t>- 27 - La recourante n’a pas critiqué cet élément, qui peut être validé sous réserve de l’indexation. Il convient en effet, comme déjà dit, de se référer à la variation annuelle des salaires nominaux des femmes, qui était de 0,6 % en 2021. La recourante a contesté le calcul de l’intimé en ce qu’il a appliqué un taux d’activité de 100 % et une diminution de rendement de 20 %, considérant qu’il fallait appliquer une diminution de rendement de 20 % sur un taux d’activité de 80 %. Cet argument ne saurait être suivi. L’expert a clairement indiqué que la capacité de travail était de 100 %, soit un temps de présence exigible de 8h25 par jour, mais qu’il fallait tenir compte d’une diminution de rendement de 20 %, de sorte que la capacité de travail globale était de 80 %. L’intimé a par ailleurs appliqué un abattement supplémentaire de 5 % pour tenir compte de l’âge de la recourante. Celle-ci n’a pas soulevé d’autre élément susceptible de justifier un abattement plus important. Dès lors, avec les correctifs ci-dessus, il faut retenir que le revenu avec invalidité s’élevait à 40'898 fr. en 2021. cc) La comparaison des revenus avec et sans invalidité déterminés ci-dessus montre un préjudice de 8'643 fr. 55, dont il découle un degré d’invalidité de 17,45 %. Ce taux n’ouvre pas le droit à la rente, ni à des mesures d’ordre professionnel. On peut relever au surplus que, même en cumulant un taux d’activité de 80 % et la diminution de rendement de 20 % comme l’a plaidé la recourante, le degré d’invalidité (33,96 %) serait encore insuffisant pour ouvrir le droit à une rente.</w:t>
      </w:r>
    </w:p>
    <w:p>
      <w:r>
        <w:rPr>
          <w:b/>
        </w:rPr>
        <w:t>E. 8</w:t>
      </w:r>
    </w:p>
    <w:p>
      <w:r>
        <w:t>a) En conclusion, le recours, mal fondé, doit être rejeté et la décision litigieuse confirmée. b) La procédure de recours en matière de contestations portant sur l’octroi ou le refus de prestations de l’assurance-invalidité est</w:t>
      </w:r>
    </w:p>
    <w:p>
      <w:r>
        <w:t>- 28 -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