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ZD24.003049 vom 11. Juni 2025</w:t>
      </w:r>
    </w:p>
    <w:p>
      <w:r>
        <w:t>VD Tribunal cantonal, 2025-06-11, FR</w:t>
      </w:r>
    </w:p>
    <w:p>
      <w:r>
        <w:rPr>
          <w:b/>
        </w:rPr>
        <w:t xml:space="preserve">Quelle: </w:t>
      </w:r>
      <w:r>
        <w:t>https://mcp.opencaselaw.ch/entscheid/vd_gerichte_ZD24.003049</w:t>
      </w:r>
    </w:p>
    <w:p>
      <w:r>
        <w:t>FR: VD_GERICHTE ZD24.003049 du 11 juin 2025</w:t>
      </w:r>
    </w:p>
    <w:p>
      <w:r>
        <w:t>IT: VD_GERICHTE ZD24.003049 del 11 giugno 2025</w:t>
      </w:r>
    </w:p>
    <w:p>
      <w:pPr>
        <w:pStyle w:val="Heading2"/>
      </w:pPr>
      <w:r>
        <w:t>Erwägungen</w:t>
      </w:r>
    </w:p>
    <w:p>
      <w:r>
        <w:rPr>
          <w:b/>
        </w:rPr>
        <w:t>E. 3</w:t>
      </w:r>
    </w:p>
    <w:p>
      <w:r>
        <w:t>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w:t>
      </w:r>
    </w:p>
    <w:p>
      <w:r>
        <w:t>- 10 - l’examen d’une demande d’octroi de rente d’invalidité, le régime légal applicable ratione temporis dépend du moment de la naissance du droit éventuel à la rente. Si cette date est postérieure au 1er janvier 2022, la situation est régie par les nouvelles dispositions légales et réglementaires en vigueur dès le 1er janvier 2022. Concrètement, cela concerne toute demande d’octroi de rente d’invalidité déposée à partir du 1er juillet 2021 compris (art. 29 al. 1 LAI, inchangé par la réforme). b) En l’occurrence, la nouvelle demande d’octroi d’une rente a été déposée le 6 octobre 2022 par le recourant. Ce sont donc les nouvelles dispositions légales et réglementaires en vigueur dès le 1er janvier 2022 qui sont applicables.</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- 11 -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w:t>
      </w:r>
    </w:p>
    <w:p>
      <w:r>
        <w:t>- 12 - demeurée pour l’essentiel inchangée ne constitue pas un motif de révision (ATF 147 V 167 consid. 4.1 ; 141 V 9 consid. 2.3).</w:t>
      </w:r>
    </w:p>
    <w:p>
      <w:r>
        <w:rPr>
          <w:b/>
        </w:rPr>
        <w:t>E. 5</w:t>
      </w:r>
    </w:p>
    <w:p>
      <w:r>
        <w:t>a) Le statut d’un assuré est déterminé en fonction de la situation professionnelle dans laquelle il se trouverait s’il n’était pas atteint dans sa santé. L’assuré est réputé exercer une activité lucrative au sens de l’art. 28a al. 1 LAI dès lors qu’en bonne santé, il exercerait une activité lucrative à un taux d’occupation de 100 %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b) aa)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(méthode ordinaire de comparaison des revenus ; art. 16 LPGA et 28a al. 1 LAI). bb)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28a al. 2 LAI et art. 8 al. 3 LPGA). Par travaux habituels des assurés travaillant dans le ménage, il faut entendre l’activité usuelle dans le ménage, ainsi que les soins et l’assistance apportés aux proches (art. 27 al. 1 RAI [règlement du 17 janvier 1961 sur l’assurance-invalidité ; RS 831.201] ; cf. MARGIT MOSER-SZELESS, in DUPONT/MOSER-SZELESS [édit.], Loi sur</w:t>
      </w:r>
    </w:p>
    <w:p>
      <w:r>
        <w:t>- 13 - la partie générale des assurances sociales, Commentaire romand, Bâle 2018, n. 52 ad art. 16 LPGA). cc)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27bis RAI). dd)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w:t>
      </w:r>
    </w:p>
    <w:p>
      <w:r>
        <w:t>- 14 -</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7</w:t>
      </w:r>
    </w:p>
    <w:p>
      <w:r>
        <w:t>a) A titre liminaire, il sied d’expliquer qu’il n’est pas possible de suivre le raisonnement défendu par l’office intimé, selon lequel le statut actuel du recourant serait celui d’une personne exerçant une activité à</w:t>
      </w:r>
    </w:p>
    <w:p>
      <w:r>
        <w:t>- 15 - temps partiel et consacrant le reste de son temps à l’accomplissement de ses travaux habituels, statut qui justifierait l’usage de la méthode mixte d’évaluation de l’invalidité. Le raisonnement tenu repose en effet sur la prémisse erronée que l’exercice d’une activité lucrative à temps partiel induirait nécessairement l’application de la méthode mixte d’évaluation de l’invalidité à la personne concernée. Cette interprétation ne correspond toutefois pas au système de la loi. L’art. 28a al. 3 LAI prescrit de manière claire et non équivoque que la personne qui exerce une activité lucrative à temps partiel doit, pour que la méthode mixte d’évaluation de l’invalidité s’applique, consacrer le reste de son temps à l’accomplissement de ses travaux habituels. Or les travaux habituels que l’on doit prendre en compte, par le biais de la méthode spécifique, pour déterminer le degré d’empêchement, correspondent à l’activité usuelle dans le ménage (tenue du ménage, alimentation, entretien du logement, achats, lessive et repassage, soins aux enfants ou autres tâches liées au ménage), ainsi qu’aux soins et à l’assistance apportés aux proches (cf. art. 27 al. 1 RAI). En l’espèce, le recourant ne s’inscrit pas dans l’une des catégories décrites ci-dessus. Il n’y a aucun élément au dossier qui laisse à penser que celui-ci, depuis qu’il a réduit pour des raisons médicales son taux d’activité, consacre son temps à l’accomplissement de travaux habituels. Il résulte de ce qui précède que la méthode mixte d’évaluation de l’invalidité n’entre pas en ligne de compte dans le cas d’espèce et que c’est la méthode ordinaire de comparaison des revenus qu’il convient d’appliquer.</w:t>
      </w:r>
    </w:p>
    <w:p>
      <w:r>
        <w:rPr>
          <w:b/>
        </w:rPr>
        <w:t>E. 8</w:t>
      </w:r>
    </w:p>
    <w:p>
      <w:r>
        <w:t>a) Cela étant posé, il convient de décrire la situation qui prévalait le 16 juillet 2019, soit au moment de la dernière décision entrée en force qui repose sur un examen matériel du droit à la rente. A la suite d’un accident le 3 septembre 2008, le recourant présentait un traumatisme du pied droit avec une fracture de la base du 5e métatarsien et une tendinopathie du long fibulaire de la cheville droite avec des douleurs et limitations fonctionnelles du pied droit (pas de port de charges lourdes, pas de marche prolongée, pas de marche en terrain irrégulier, pas de montée et descente d’escaliers et d’échelles ainsi que pas de positions contraignantes pour la cheville [position accroupie]). Il présentait par</w:t>
      </w:r>
    </w:p>
    <w:p>
      <w:r>
        <w:t>- 16 - ailleurs un status post entorse de grade III de la cheville gauche avec fracture in situ du talus et contusion le 12 août 2014, et une fasciite plantaire. L’OAI avait octroyé au recourant une rente entière d’invalidité du 1er mars au 30 avril 2016, une demi-rente du 1er mai au 30 juin 2016, une rente entière du 1er juillet au 31 août 2016 et une demi-rente du 1er septembre 2016 au 31 mai 2017. Ce faisant, il avait notamment retenu une capacité de travail de 100 % depuis le 13 février 2017 dans une activité adaptée à l’état de santé. b) Sur la base des différentes pièces versées au dossier, il apparaît que l’état de santé du recourant ne s’est pas aggravé, à tout le moins pas dans une mesure propre à influer sa capacité de travail, laquelle demeure entière dans une activité adaptée à ses limitations fonctionnelles. aa) Sur le plan orthopédique, la Dre H.________ a retenu, dans son rapport médical du 24 mai 2023, les diagnostics de douleurs chroniques mixtes neuropathiques et d’allure mécanique du pied droit dans les suites d’un traumatisme du pied le 8 septembre 2008, d’ostéosynthèse par deux broches de Kirschener et une greffe d’os sur la fracture de la base du 5ème métatarsien (2008), d’ablation du matériel d’ostéosynthèse (2009), d’excision d’un névrome terminal du nerf sural droit et stripping de ce nerf (octobre 2012), d’arthroplastie d’interposition cuboïdo-M5 par du tenseur du fascia lata prélevé sur la cuisse homolatérale à droite et névrectomie du nerf sural jusqu’à son émergence entre le gastrocnémien (18 septembre 2015), d’arthrose de l’articulation TMT4-5 avec allodynie de la face dorsale et latérale du pied droit, d’importante entorse de grade II de la cheville gauche avec fracture du bord antéro-médian de l’astragale, d’enthésopathie calcifiante du tendon d’Achille au niveau de son insertion, et de dorsalgies para-scapulaires gauche d’origine musculosquelettique. Au vu de ces atteintes, la Dre H.________ a estimé que si l’incapacité de travail était totale dans l’activité habituelle, le recourant conservait toutefois, malgré l’aggravation de ses séquelles, une capacité</w:t>
      </w:r>
    </w:p>
    <w:p>
      <w:r>
        <w:t>- 17 - de travail entière dans une activité adaptée à ses limitations fonctionnelles (pas d’activité nécessitant des marches répétées et/ou prolongées, pas de marche en terrain irrégulier, pas de travail en position debout, pas de port de charges supérieures à 5 kg, pas de montées et descentes d’escaliers, d’échelles ou d’échafaudages, pas de position contraignante pour la cheville [accroupie ou à genoux]). Cet avis, validé par le SMR le 4 juillet 2023, rejoint celui des médecins de la CRR (cf. rapport de sortie du 12 juillet 2022 des Dres F.________ et B.________), lesquels ont retenu que le pronostic de réinsertion, s’il était défavorable dans l’ancienne activité, était en théorie favorable dans une activité adaptée. Quant au Dr G.________ (rapport du 17 novembre 2022), il a également reconnu l’existence d’une capacité de travail entière dans une activité adaptée aux restrictions présentées ; il s’est toutefois déclaré favorable au maintien de l’activité habituelle exercée à taux réduit, au motif qu’une reconversion professionnelle semblait illusoire vu l’âge du recourant. Il est vrai que dans son rapport du 3 octobre 2022, le Dr E.__________ a évalué la capacité de travail résiduelle du recourant entre 30 et 50 %. Dans son rapport du 25 mars 2024, ce médecin a toutefois nuancé son propos en soulignant également que le pronostic de réinsertion dans une activité adaptée était en théorie favorable. S’agissant des réserves émises par les médecins de la CRR, par le Dr G.________ et par le Dr E.__________, elles concernant avant tout un éventuel aménagement du poste de travail actuel du recourant, exercé à taux réduit auprès de l’entreprise familiale D.________ SA. Or il est établi de longue date que cette activité de logisticien pièces détachées automobile n’est qu’en partie adaptée à l’état de santé du recourant ; en tout état de cause ces éléments ne sont pas de nature à susciter un doute quant au fait que le recourant dispose d’une pleine capacité de travail dans une activité adaptée respectant strictement ses restrictions fonctionnelles.</w:t>
      </w:r>
    </w:p>
    <w:p>
      <w:r>
        <w:t>- 18 - bb) Sur le plan cardiologique, le recourant est connu pour une maladie coronarienne mixte, hypertensive et ischémique avec pose de stents en mars 2021. De l’avis du Dr Q.________, le recourant ne présente pas de pathologie cardiologique susceptible d’affecter sa capacité de travail. cc) Sur le plan de la médecine générale, le recourant présente un syndrome métabolique avec hypertension artérielle sous bithérapie, une dyslipidémie traitée, un prédiabète, une obésité de grade I, ainsi qu’une sciatalgie chronique droite. Rien au dossier ne laisse à penser que ces atteintes auraient une influence quant à l’exercice d’une activité adaptée aux limitations fonctionnelles du recourant. c) Pour le surplus, il n’y a pas lieu de tenir compte, dans le cadre de l’appréciation de la situation, des rapports médicaux faisant état, d’une part, de canaux carpiens à traiter et de scapulalgies droites (rapport du Dr E.__________ du 25 mars 2024) et, d’autre part, d’un trouble mixte de l’humeur de type anxio-dépressif (rapport de la Dre P.________ du 19 septembre 2024), lesdites affections étant apparues postérieurement à la décision litigieuse. d) Au vu du contenu des diverses pièces au dossier, un complément d’instruction apparaît ainsi superflu et la requête formulée en ce sens par le recourant dans son acte de recours du 4 décembre 2021 – soit la réalisation d’une expertise judiciaire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w:t>
      </w:r>
    </w:p>
    <w:p>
      <w:r>
        <w:rPr>
          <w:b/>
        </w:rPr>
        <w:t>E. 9</w:t>
      </w:r>
    </w:p>
    <w:p>
      <w:r>
        <w:t>S’agissant de la problématique de l’exigibilité d’une reconversion professionnelle compte tenu d’un âge proche de celui donnant droit à la rente de vieillesse, il n’y a pas lieu de l’examiner, eu égard à l’absence de modification notable de la situation. Il convient de</w:t>
      </w:r>
    </w:p>
    <w:p>
      <w:r>
        <w:t>- 19 - rappeler que la problématique de la reconversion professionnelle avait déjà été mise en évidence dans le cadre de l’examen de la première demande de prestations déposée par le recourant et que, nonobstant les constats médicaux posés à l’époque et l’offre d’aide proposée par l’office intimé, le recourant a fait le choix de poursuivre son activité habituelle, quand bien même celle-ci n’était pas compatible avec ses limitations fonctionnelles. Il ne saurait, quelques années plus tard, tirer parti sur le plan assécurologique d’une situation à laquelle il a contribué. Les autres motifs invoqués s’agissant de l’absence de formation professionnelle et de l’exercice de la même activité, déjà adaptée, depuis vingt ans, n’ont également pas à être examinés.</w:t>
      </w:r>
    </w:p>
    <w:p>
      <w:r>
        <w:rPr>
          <w:b/>
        </w:rPr>
        <w:t>E. 10</w:t>
      </w:r>
    </w:p>
    <w:p>
      <w:r>
        <w:t>Faute de modification notable des circonstances, il n’apparaît pas nécessaire de procéder à une nouvelle comparaison des revenus (cf. TF 9C_522/2011 du 8 février 2012 consid. 4.2 a contrario ; voir également TF 9C_577/2021 du 23 juin 2022 consid. 6), si bien que les griefs formulés à l’encontre de la comparaison des revenus effectuée par l’office intimé peuvent demeurer indécis.</w:t>
      </w:r>
    </w:p>
    <w:p>
      <w:r>
        <w:rPr>
          <w:b/>
        </w:rPr>
        <w:t>E. 11</w:t>
      </w:r>
    </w:p>
    <w:p>
      <w:r>
        <w:t>a) Mal fondé, le recours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