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ZD24.002558 vom 24. Februar 2025</w:t>
      </w:r>
    </w:p>
    <w:p>
      <w:r>
        <w:t>VD Tribunal cantonal, 2025-02-24, FR</w:t>
      </w:r>
    </w:p>
    <w:p>
      <w:r>
        <w:rPr>
          <w:b/>
        </w:rPr>
        <w:t xml:space="preserve">Quelle: </w:t>
      </w:r>
      <w:r>
        <w:t>https://mcp.opencaselaw.ch/entscheid/vd_gerichte_ZD24.002558</w:t>
      </w:r>
    </w:p>
    <w:p>
      <w:r>
        <w:t>FR: VD_GERICHTE ZD24.002558 du 24 février 2025</w:t>
      </w:r>
    </w:p>
    <w:p>
      <w:r>
        <w:t>IT: VD_GERICHTE ZD24.002558 del 24 febbraio 2025</w:t>
      </w:r>
    </w:p>
    <w:p>
      <w:pPr>
        <w:pStyle w:val="Heading2"/>
      </w:pPr>
      <w:r>
        <w:t>Erwägungen</w:t>
      </w:r>
    </w:p>
    <w:p>
      <w:r>
        <w:rPr>
          <w:b/>
        </w:rPr>
        <w:t>E. 3</w:t>
      </w:r>
    </w:p>
    <w:p>
      <w:r>
        <w:t>Le litige porte sur le droit de la recourante à une rente de l’assurance-invalidité.</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w:t>
      </w:r>
    </w:p>
    <w:p>
      <w:r>
        <w:t>- 9 -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- 10 - comme expertise, mais bel et bien son contenu (ATF 134 V 231 consid. 5.1 ; 125 V 351 consid. 3a ; TF 8C_510/2020 du 15 avril 2021 consid. 2.4)</w:t>
      </w:r>
    </w:p>
    <w:p>
      <w:r>
        <w:rPr>
          <w:b/>
        </w:rPr>
        <w:t>E. 6</w:t>
      </w:r>
    </w:p>
    <w:p>
      <w:r>
        <w:t>a) La recourante ne revient pas sur l’appréciation de l’OAI selon laquelle elle présenterait une incapacité de travail de 40 % dans son activité habituelle de cordonnière indépendante. Elle conteste en revanche le constat selon lequel il pourrait être exigé d’elle une capacité de travail de 100 % dans une activité adaptée à son état de santé et respectant ses limitations fonctionnelles. b) Pour autant, dans son acte de recours, la recourante ne se prévaut pas de constatations médicales ni d’autres éléments probants qui seraient de nature à remettre en cause les rapports des médecins sur lesquels l’OAI s’est fondé au moment de considérer qu’elle disposait encore d’une capacité de travail pleine et entière dans une activité adaptée. Il ressort en effet du dossier de l’OAI que, dans leurs rapports médicaux, tant la Dre H.________ que le Dr T.________ ont fait état d’une capacité de travail de 100 % dans une activité adaptée à ses limitations fonctionnelles, qui lui imposent d’éviter le port de charges et le travail sur terrains irréguliers ainsi que de privilégier le travail assis. c) Pour le surplus, la recourante fait valoir que son activité de cordonnière indépendante – pour laquelle une incapacité de travail de 40 % lui a pourtant été reconnue – lui permettrait déjà de respecter au mieux ses limitations fonctionnelles dès lors qu’elle peut gérer son temps de travail comme elle le souhaite, qu’elle peut bénéficier de l’aide de sa famille pour les travaux plus lourds et qu’elle utilise une chaise ergonomique qui lui permet d’être à une hauteur adaptée aux différentes tâches qu’elle réalise dans son activité de cordonnière. De tels développements ne sont toutefois pas de nature à exclure d’emblée l’existence d’une autre activité professionnelle qui lui permettrait de bénéficier d’une flexibilité tout aussi étendue en termes de</w:t>
      </w:r>
    </w:p>
    <w:p>
      <w:r>
        <w:t>- 11 - mobilité dans l’exercice de son travail, moyennant au besoin l’utilisation de la chaise ergonomique qu’elle s’est procurée. On peut à cet égard songer aux activités professionnelles évoquées par l’OAI dans sa décision, soit en particulier celle d’ouvrière à l’établi dans des activités simples et légères notamment dans le conditionnement ou dans le montage, le contrôle ou la surveillance d’un processus de production industrielle. Au reste, si le statut d’indépendante peut certes présenter des avantages sur le plan organisationnel, il a néanmoins pour corollaire d’imposer à la recourante d’assumer seule l’entière responsabilité des tâches qu’il lui revient d’accomplir dans son activité de cordonnière, dont il n’est pas à douter qu’elle implique régulièrement, pour réaliser les travaux qui lui sont confiés par ses clients, d’effectuer des ports de charges et de rester debout de manière prolongée, alors qu’il n’est pas allégué qu’elle puisse dans ce contexte compter systématiquement sur l’aide d’autres personnes. Dès lors, c’est à juste titre que l’intimé a retenu que l’activité habituelle de la recourante n’était pas entièrement adaptée à ses limitations fonctionnelles et qu’il existait sur le marché du travail des activité répondant entièrement à celles-ci.</w:t>
      </w:r>
    </w:p>
    <w:p>
      <w:r>
        <w:rPr>
          <w:b/>
        </w:rPr>
        <w:t>E. 7</w:t>
      </w:r>
    </w:p>
    <w:p>
      <w:r>
        <w:t>Il reste à procéder à l’évaluation du taux de l’invalidité de la recourante eu égard aux revenus qu’elle est susceptible de réaliser avec et sans invalidité.</w:t>
      </w:r>
    </w:p>
    <w:p>
      <w:r>
        <w:rPr>
          <w:b/>
        </w:rPr>
        <w:t>E. 8</w:t>
      </w:r>
    </w:p>
    <w:p>
      <w:r>
        <w:t>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28a al. 1 LAI).</w:t>
      </w:r>
    </w:p>
    <w:p>
      <w:r>
        <w:t>- 12 -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9C_766/2023 du 13 février 2024 consid. 5.1). 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w:t>
      </w:r>
    </w:p>
    <w:p>
      <w:r>
        <w:t>- 13 - Lorsque l'assuré est une personne de condition indépendante, la comparaison porte sur les résultats d'exploitation réalisés dans son entreprise avant et après la survenance de l'invalidité (TF 8C_2/2023 du 7 septembre 2023 consid. 3.3 et les références). c) Le revenu avec invalidité est déterminé en fonction des valeurs statistiques visées à l’art. 25 al. 3 RAI dans la mesure où l’assuré ne réalise pas de revenu déterminant ou n’exploite pas autant que possible sa capacité fonctionnelle résiduelle en exerçant une activité qui peut raisonnablement être exigée de lui (art. 26bis al. 1 et 2 RAI).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w:t>
      </w:r>
    </w:p>
    <w:p>
      <w:r>
        <w:t>- 14 -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TF 9C_716/2014 du 19 février 2015 consid. 4.1 et TF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Cela étant rappelé,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w:t>
      </w:r>
    </w:p>
    <w:p>
      <w:r>
        <w:t>- 15 - niveau des sollicitations physiques (ATF 134 V 64 consid. 4.2.1 ; 110 V 273 consid. 4b). Il ne s’agit ainsi pas d’apprécier si un employeur est effectivement disposé à confier un travail au recourant, mais uniquement d’apprécier si, compte tenu de son état de santé, ce dernier est à même d’exercer une activité déterminée (Michel Valterio, Commentaire de la Loi fédérale sur l’assurance-invalidité [LAI], Genève/Zurich/Bâle 2018, n° 65 ad art. 28a LAI). e)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(TF 9C_236/2009 du 7 octobre 2009 consid. 4.3). Au regard du rôle secondaire des activités administratives et de direction au sein d'une entreprise artisanale, un transfert de tâches d'exploitation proprement dites vers des tâches de gestion ne saurait en principe compenser entièrement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9C_36/2018 du 17 mai 2018 consid. 4.2 ; TF 9C_236/2009 précité consid. 4.3 et les références citées ; TF 8C_748/2008 du 10 juin 2009 consid. 4.2.1). Lorsqu’un changement de profession induit une meilleure valorisation économique de la capacité de travail, l’attachement subjectif de l’assuré à son entreprise n’a pas pour conséquence de nier le caractère exigible d’un tel changement (TF 8C_413/2015 du 3 novembre 2015 consid. 3.3.2 ; TF 9C_834/2011 du 2 avril 2012 consid. 4 et les références citées). Les éventuelles difficultés à remettre l’entreprise à un tiers, notamment le risque de perte financière, font également partie des</w:t>
      </w:r>
    </w:p>
    <w:p>
      <w:r>
        <w:t>- 16 - critères à prendre en compte (TF 8C_748/2008 du 10 juin 2009 consid. 4.2.1). Cependant, de jurisprudence constante, ce n'est qu'à des conditions strictes que l'on peut considérer qu'un changement d'activité professionnelle ne constitue pas une mesure raisonnablement exigible de l'assuré ; en particulier, l'activité exercée jusqu'alors ne doit pas être poursuivie aux coûts de l'assurance-invalidité, même si l'intéressé effectue un travail d'une certaine importance économique (TF 9C_36/2018 précité consid. 4.2).</w:t>
      </w:r>
    </w:p>
    <w:p>
      <w:r>
        <w:rPr>
          <w:b/>
        </w:rPr>
        <w:t>E. 9</w:t>
      </w:r>
    </w:p>
    <w:p>
      <w:r>
        <w:t>a) En l’espèce, l’intimé a estimé que la recourante aurait réalisé, en bonne santé, un revenu annuel de 21'552 francs. A cet égard, il a pris en considération les bénéfices nets réalisés dans le cadre de son activité de cordonnière indépendante pour les années 2015 à 2019, soit pour les années antérieures à la pandémie de Covid-19 – dont on comprend qu’elle a eu un impact non négligeable sur son activité – et à la survenance de son incapacité de travail partielle. Quant au revenu annuel auquel la recourante pourrait prétendre dans une activité adaptée à son atteinte, il a été fixé à 54'649 fr. 36, l’intimé s’étant référé dans ce contexte aux statistiques de l’ESS 2022 (indexation 2023). Aussi, selon l’intimé, à défaut pour la recourante de subir un préjudice économique du fait de son invalidité, elle n’avait pas droit à une rente de l’assurance-invalidité. b) La recourante ne conteste pas en soi les montants qui ont été retenus par l’intimé au titre des revenus qu’elle serait susceptible de réaliser avec et sans invalidité. Les critiques de la recourante se concentrent ainsi essentiellement sur le choix de la méthode utilisée par l’intimé, arguant qu’en l’occurrence, la méthode de la comparaison des revenus ne serait pas adaptée à sa situation et conduirait à un résultat injuste attendu qu’en définitive, le droit à la rente lui serait refusé uniquement en raison du caractère particulièrement modeste du revenu qu’elle réalise laborieusement par son activité de cordonnière. Elle soutient que, dans un</w:t>
      </w:r>
    </w:p>
    <w:p>
      <w:r>
        <w:t>- 17 - tel contexte, il conviendrait d’appliquer une méthode de calcul différente tenant compte d’une « parallélisation », de sorte que le taux d’incapacité de travail qui lui est médicalement reconnu (40 %) soit directement imputé sur le revenu qu’elle réalisait avant la survenance de son atteinte à la santé. c) Dans ses écritures, la recourante ne précise pas les dispositions normatives ni les développements jurisprudentiels auxquels elle entend faire référence pour étayer sa position. En tout état, l’OAI a considéré à juste titre que l’assurée était en mesure d’accomplir à temps plein une activité mieux adaptée à ses limitations fonctionnelles (cf. supra), ce qui exclut déjà en soi qu’il puisse être fait application de la méthode dite de la comparaison en pour-cent (ATF 114 V 310 consid. 3a ; TF 9C_562/2022 du 12 septembre 2023 consid. 6 ; voir aussi TF 9C_888/2011 du 13 juin 2012 consid. 4.4 et les références). De même, les revenus hypothétiques ayant pu être valablement évalués, il n’y a pas non plus la place pour recourir à la méthode extraordinaire de comparaison des revenus (ATF 128 V 29 consid. 1 et les références ; TF 8C_1/2020 du 15 octobre 2020 consid. 3.2 ; TF 8C_312/2016 du 13 mars 2017 consid. 5.4.2 ; TF 9C_236/2009 du 7 octobre 2009 consid. 3.2). La recourante ne saurait non plus prétendre à la parallélisation des revenus prévue par l’art. 26 al. 2 RAI, lequel impose de prendre en considération un revenu sans invalidité correspondant à 95 % des valeurs médianes usuelles dans la branche selon l’ESS lorsque le revenu en question est inférieur d’au moins 5% aux valeurs médianes usuelles. L’art. 26 al. 3 let. b RAI dispose en effet expressément que l’art. 26 al. 2 RAI n’est pas applicable lorsque l’assuré exerçait une activité lucrative indépendante. d) Cela étant relevé, il n’y a rien d’irréaliste à considérer que la recourante soit en mesure de retrouver un emploi dans une activité adaptée.</w:t>
      </w:r>
    </w:p>
    <w:p>
      <w:r>
        <w:t>- 18 - On observera en effet qu’en l’état, la recourante souhaite avant tout poursuivre son métier de cordonnière – qui constitue pour elle une « activité-passion » selon les termes de son ergothérapeute (attestation du 31 mars 2023) – et n’a pas été depuis de nombreuses années dans une démarche dynamique de recherche d’emploi. Aussi, si l’intérêt marqué de la recourante pour son métier ne peut être nié, il ne saurait à lui seul faire obstacle à une meilleure valorisation de sa capacité de travail. Les revenus qu’elle tirait de son activité indépendante étaient modestes, tout comme la taille et le fonctionnement de son entreprise, laquelle, selon l’évaluation économique réalisée par l’intimé, n’avait pas d’employé, était locataire de son local commercial et ne disposait tout au plus que de mobilier et de machines déjà largement amortis. Il n’apparaît pas dans ce contexte qu’une renonciation entraînerait des préjudices économiques particuliers. Pour le surplus, la recourante, qui aura 50 ans en avril prochain, apparaît disposer des ressources nécessaires lui permettant de retrouver un emploi à une échéance raisonnable. Il ressort ainsi du rapport établi le 3 avril 2023 par W.________ que la recourante avait travaillé pendant 15 ans dans son pays d’origine comme ouvrière dans une usine de chaussures. De même, dès son arrivée en Suisse en 2007, elle avait exercé différentes activités salariées avant de se consacrer pleinement à son activité indépendante, laquelle est d’ailleurs susceptible d’être mise en valeur dans le cadre de ses futures recherches d’emploi. Il apparaît ainsi que l’on peut exiger de la recourante qu’elle change d’activité professionnelle au profit d’une activité adaptée à ses limitations fonctionnelles. On précisera cependant que l'exigibilité de la réinsertion dans une nouvelle activité n'oblige pas, en tant que telle, l'intéressée à quitter son entreprise. Elle demeure en effet libre de poursuivre son activité ; dans ce cas, toutefois, elle ne saurait prétendre à des prestations à la charge de l'assurance-invalidité (TF 9C_36/2018 du 17 mai 2018 consid. 4.3.2).</w:t>
      </w:r>
    </w:p>
    <w:p>
      <w:r>
        <w:t>- 19 -</w:t>
      </w:r>
    </w:p>
    <w:p>
      <w:r>
        <w:rPr>
          <w:b/>
        </w:rPr>
        <w:t>E. 10</w:t>
      </w:r>
    </w:p>
    <w:p>
      <w:r>
        <w:t>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