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ZD24.002375 vom 2. Dezember 2024</w:t>
      </w:r>
    </w:p>
    <w:p>
      <w:r>
        <w:t>VD Tribunal cantonal, 2024-12-02, FR</w:t>
      </w:r>
    </w:p>
    <w:p>
      <w:r>
        <w:rPr>
          <w:b/>
        </w:rPr>
        <w:t xml:space="preserve">Quelle: </w:t>
      </w:r>
      <w:r>
        <w:t>https://mcp.opencaselaw.ch/entscheid/vd_gerichte_ZD24.002375</w:t>
      </w:r>
    </w:p>
    <w:p>
      <w:r>
        <w:t>FR: VD_GERICHTE ZD24.002375 du 2 décembre 2024</w:t>
      </w:r>
    </w:p>
    <w:p>
      <w:r>
        <w:t>IT: VD_GERICHTE ZD24.002375 del 2 dicembre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w:t>
      </w:r>
    </w:p>
    <w:p>
      <w:r>
        <w:t>- 20 -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- 21 -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a) aa) A la suite de l’arrêt rendu par la Cour de céans le 6 septembre 2021 (cause AI 51/20 – 251/2021), l’office AI a confié à K.________ Sàrl la réalisation d’une expertise pluridisciplinaire comprenant un volet de médecine interne, neurologique, orthopédique et psychiatrique. Aux termes de la décision attaquée, il a jugé que les pièces médicales au dossier ne permettaient pas d’admettre une modification de l’état de santé susceptible d’avoir une incidence sur la capacité de travail telle que retenue dans la décision du 18 juin 2018. Aussi convenait-il de conclure à l’existence d’une capacité de travail entière dans une activité adaptée à son état de santé, si bien que le droit à une rente d’invalidité devait être refusé.</w:t>
      </w:r>
    </w:p>
    <w:p>
      <w:r>
        <w:t>- 22 - bb) Le recourant estime que l’évaluation consensuelle de l’expertise réalisée par K.________ Sàrl, selon laquelle son état de santé ne se serait pas aggravé depuis 2017, est en contradiction avec le volet neurologique de cette même expertise, puisque le Prof. E.________ a clairement fait état d’une aggravation de son état de santé. Selon l’assuré, c’était donc à tort que le Dr F.________, médecin auprès du SMR, avait conclu à une situation similaire à celle qui prévalait lors de l’expertise du Dr C.________. b) aa) Le SMR se trompe en concluant à un état de santé inchangé depuis 2017. Ce faisant, il fait fi de la documentation médicale versée au dossier. Dans son rapport du 24 mai 2019, le Prof. G.________ a posé le diagnostic de plexopathie brachiale supérieure gauche, associée à une tendinopathie de l’épaule gauche post-traumatique (5 juillet 2016). Au terme de son examen, il a conclu à une évolution clinique plutôt défavorable avec une perte de la motricité du biceps, qui permettait une flexion l’année précédente mais qui était impossible au jour de la consultation (11 avril 2019). Ce médecin a relevé que, compte tenu du temps écoulé depuis l’accident (3 ans), le pronostic quant à la récupération du membre supérieur gauche restait donc très réservé malgré quelques signes de repousses axonales. Aussi a-t-il estimé que la capacité de travail n’excédait pas 20 %. De son côté, le Prof. E.________ a, dans le cadre de l’expertise de K.________ Sàrl (rapport du 23 janvier 2023, p. 47), diagnostiqué des séquelles de plexopathie brachiale gauche chez un droitier touchant le tronc supérieur C5-C6 post traumatique sévère mais non complète de type Erb-Duchenne avec lésions tendineuses surajoutées. Ce médecin a expliqué qu’il s’agissait d’une lésion sévère du plexus cervical supérieur gauche sur le bras non dominant d’un droitier, mais non complète en l’absence d’hypotonie majeure proximale du bras, de posture en pronation et de préservation de la sensibilité sur le territoire sensitif du nerf axillaire ainsi qu’en l’absence d’amyotrophie du brachioradial. Selon le Prof. E.________, il n'y avait eu aucune évolution dans le sens d’une récupération de l’atteinte plexuelle depuis le traumatisme. A cet égard, il a souligné</w:t>
      </w:r>
    </w:p>
    <w:p>
      <w:r>
        <w:t>- 23 - que, comme le diagnostic initial était traumatique et non un syndrome de Parsonage-Turner, l’assuré n’avait pas pu bénéficier d’un traitement post- traumatique et d’une hospitalisation dans un centre spécialisé, les traitements ayant essentiellement consisté en une prescription de médicaments et de la physiothérapie. Au jour de son examen, le Prof. E.________ a ainsi jugé que l’état de santé s’était aggravé depuis l’expertise du Dr C.________ en 2017 concernant la force du biceps, puisque celle-ci était alors encore partielle ; au surplus, les chances de guérison étaient nulles, sans récupération possible, le déficit devant être considéré comme définitif. D’après le Prof. E.________, l’incapacité de travail était de 50 % dans une activité adaptée aux limitations fonctionnelles décrites (pas d’utilisation du bras gauche en hauteur, pas de port de charges ni de conduite automobile). A l’instar du Prof. E.________, le Prof. W.________ a écarté l’existence d’une atteinte inflammatoire de type Parsonage-Turner, typiquement progressivement régressive, car une telle pathologie ne correspondait pas aux observations effectuées. En effet, le suivi des rapports neurologiques évoquaient bien plutôt une péjoration ; celle-ci avait déjà été signalée par le Prof. G.________, puis s’était poursuivie au niveau de la flexion de l’avant-bras, possible fonctionnellement auparavant mais qui ne l’était plus au moment de l’expertise du Prof. E.________, constat que le Prof. W.________ avait également opéré au cours de son propre examen. Selon ce dernier, ceci était tout à fait compatible avec un tableau post-traumatique où une dégénérescence secondaire pouvait se produire progressivement à distance de l’événement initial. Le Prof. W.________ a également relevé que l’expertise du Prof. E.________ faisait mention d’une péjoration dans les mouvements de flexion de l’avant-bras, ce qui avait une signification importante chez un patient dont la plupart des autres mouvements proximaux du membre supérieur gauche étaient déjà fortement limités. Du reste, l’évaluation effectuée par ses soins avait confirmé ce point, de même que l’évaluation d’ergothérapie. Comme les éléments à sa disposition révélaient que ce mouvement de flexion était encore fonctionnel en 2017, il ne pouvait nier l’existence d’une péjoration considérée comme significative pour</w:t>
      </w:r>
    </w:p>
    <w:p>
      <w:r>
        <w:t>- 24 - l’intéressé et ses activités. D’après le Prof. W.________, les conclusions du Prof. E.________ n’étaient pas sujettes à caution et demeuraient valables au jour de son examen pratiqué le 11 août 2023. Aussi a-t-il estimé que, à l’instar de son confrère, la capacité de travail du recourant était de 50 % dans une activité adaptée à son état de santé. Il s’est néanmoins étonné que, dans leur évaluation consensuelle, les experts de K.________ Sàrl n’aient pas retenu l’existence d’une aggravation depuis 2017, alors même que le Prof. E.________ considérait que tel était le cas au niveau de la force motrice du membre supérieur gauche, en particulier le mouvement de flexion de l’avant-bras. Le Prof. W.________ s’est même demandé si le Prof. E.________ avait eu accès à ce résumé « consensuel », car celui-ci n’aurait certainement pas validé une conclusion contraire à sa propre évaluation. bb) En l’état actuel du dossier, l’intimé ne pouvait, sans autres investigations, se référer à l’appréciation du Dr F.________ et considérer que l’expertise du Prof. W.________ « se situe plutôt dans le champ d’une appréciation différente d’un même état de santé » (avis médical du 7 décembre 2023). Faute d’éléments prouvant cette hypothèse, l’intimé devait, sinon suivre les conclusions du Prof. W.________ – lesquelles rejoignent celles des Prof. G.________ et E.________ –, procéder à une instruction complémentaire du dossier, soit en interpellant et en confrontant les experts de K.________ Sàrl à l’appréciation de l’expert privé, soit par la mise en œuvre d’une nouvelle expertise neutre, conforme aux exigences découlant de l’art. 44 LPGA. C’est donc à tort que le SMR conclut à une pleine capacité de travail dans une activité adaptée, sans avoir instruit sur le plan médical le bien-fondé des constatations et conclusions du Prof. W.________. c) Cela étant, il convient d’ajouter que les avis médicaux rédigés par le SMR les 6 février, 14 août et 7 décembre 2023 ne reposent pas sur des observations cliniques auxquelles le Dr F.________ aurait personnellement procédé, mais sur une appréciation fondée exclusivement sur une analyse partielle et biaisée des documents médicaux versés au dossier. A cet égard, il convient de souligner que l’analyse opérée par le Dr F.________, dont il convient de préciser qu’il n’est</w:t>
      </w:r>
    </w:p>
    <w:p>
      <w:r>
        <w:t>- 25 - pas au bénéfice d’une formation spécialisée dans le domaine de la neurologie, n’examine que de manière superficielle la question de la péjoration de l’état de santé du recourant depuis 2017, pourtant attestée par les Prof. G.________, E.________ et W.________. Il convient par ailleurs de mettre en évidence que le Dr F.________ a méconnu le fait que, sur la base du même diagnostic, les Prof. E.________ et W.________ mentionnaient tous deux que le recourant présentait une capacité de travail de 50 % dans une activité adaptée. Retenir, comme l’a fait le Dr F.________, que l’appréciation de la capacité de travail opérée par le Prof. W.________ constitue une appréciation « similaire à celle qui prévalait lors de la première demande » procède de considérations ne résistant pas à un examen consciencieux des éléments au dossier. d) Sur le vu de ce qui précède, il appert que les faits pertinents n’ont pas été constatés de manière complète et probante et qu’il convient plus particulièrement de compléter l’instruction en vue de déterminer si le recourant présente des atteintes à la santé susceptibles d’influencer sa capacité de travail. Il se justifie par conséquent d’ordonner le renvoi de la cause à l’office AI – à qui il appartient au premier chef d’instruire, conformément au principe inquisitoire qui régit la procédure dans le domaine des assurances sociales selon l’art. 43 al. 1 LPGA –, cette solution apparaissant comme la plus opportune. Dans la mesure où seul le volet neurologique de l’expertise de K.________ Sàrl est contesté (cf. mémoire de recours du 18 janvier 2024, p. 18), il incombera ainsi à l’intimé de mettre en œuvre une expertise neurologique neutre conformément à l’art. 44 LPGA. L’expert aura notamment pour tâche de se prononcer sur une éventuelle aggravation de l’état de santé du recourant depuis 2017, son appréciation devant ensuite faire l’objet d’une évaluation consensuelle avec les Drs D.________, P.________ et O.________. Cela fait, il appartiendra ensuite à l’intimé de rendre une nouvelle décision statuant sur les prétentions du recourant.</w:t>
      </w:r>
    </w:p>
    <w:p>
      <w:r>
        <w:rPr>
          <w:b/>
        </w:rPr>
        <w:t>E. 7</w:t>
      </w:r>
    </w:p>
    <w:p>
      <w:r>
        <w:t>a) Compte tenu de l’issue du litige, la question du calcul du taux d’invalidité n’a pas à être examinée à ce stade et souffre de</w:t>
      </w:r>
    </w:p>
    <w:p>
      <w:r>
        <w:t>- 26 - demeurer indécise. Il en va de même de celle concernant l’octroi de mesures professionnelles. b) Il découle également de ce qui précède qu’il n’y a pas lieu de donner suite à la requête du recourant tendant à la mise en œuvre d’une mesure d’instruction complémentaire sous la forme d’une audience de débats publics.</w:t>
      </w:r>
    </w:p>
    <w:p>
      <w:r>
        <w:rPr>
          <w:b/>
        </w:rPr>
        <w:t>E. 8</w:t>
      </w:r>
    </w:p>
    <w:p>
      <w:r>
        <w:t>a) Il y a donc lieu d’admettre le recours déposé le 18 janvier 2024, d’annuler la décision du 13 décembre 2023 et de renvoyer la cause à l’office intimé pour complément d’instruction au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w:t>
      </w:r>
    </w:p>
    <w:p>
      <w:r>
        <w:rPr>
          <w:b/>
        </w:rPr>
        <w:t>E. 9</w:t>
      </w:r>
    </w:p>
    <w:p>
      <w:r>
        <w:t>Le recourant requiert la prise en charge par l’intimé des frais d’établissement du rapport d’expertise privée, pour un montant total de 3'462 fr. 50. a)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8C_354/2015 du 13 octobre 2015 consid. 6.1 ; 9C_136/2012 du 20 août 2012 consid. 5 ; ATF 115 V 62).</w:t>
      </w:r>
    </w:p>
    <w:p>
      <w:r>
        <w:t>- 27 - b) En l’occurrence, l’intimé a fondé la décision litigieuse du 13 décembre 2023 sur les avis médicaux du SMR des 6 février, 14 août et 7 décembre 2023, dont les lacunes ont été discutées dans le cadre du présent arrêt (cf. considérant 6 supra). A la lecture de l’expertise du Prof. W.________, spécialiste de renom mandaté afin de départager les avis divergents au dossier, tâche dont il s’est au demeurant acquitté lege artis, l’office intimé aurait dû porter un regard plus critique sur les conclusions du Dr F.________. L’expertise privée a ainsi servi à pallier les manquements commis dans la phase d’instruction administrative. Dans ces conditions, il est justifié de mettre à charge de l’assurance-invalidité la totalité des frais qui ont été nécessaires à la mise en œuvre de l’expertise privée, à savoir les honoraires du bilan d’ergothérapie, par 1'462 fr. 50 (facture d’honoraires du 15 septembre 2023) et ceux de l’expertise neurologique du Prof. W.________, par 2’000 fr. (facture d’honoraires du 20 septembre 2023), pour un total de 3'462 fr. 50.</w:t>
      </w:r>
    </w:p>
    <w:p>
      <w:r>
        <w:rPr>
          <w:b/>
        </w:rPr>
        <w:t>E. 10</w:t>
      </w:r>
    </w:p>
    <w:p>
      <w:r>
        <w:t>a) La partie recourante obtient gain de cause et a droit à une indemnité de dépens à titre de participation aux honoraires de son conseil (art. 61 let. g LPGA). Compte tenu de l’importance et de la complexité du litige, il convient d’arrêter l’indemnité à 4'500 fr., débours et TVA compris, et de la mettre intégralement à la charge de la partie intimée qui succombe (art. 10 et 11 TFJDA [tarif du 28 avril 2015 des frais judiciaires et des dépens en matière administrative ; BLV 173.36.5.1]). b) Par décision du magistrat instructeur du 7 février 2024, le recourant a été mis au bénéfice de l’assistance judiciaire avec effet au 18 janvier 2024 et a obtenu à ce titre la commission d’un avocat d’office en la personne de Me Jean-Michel Duc. Ce dernier a produit sa liste des opérations le 3 juin 2024, faisant état, pour la cause AI 23/24, d’un temps total de 13 heures représentant un montant en sa faveur de 4'329 fr. 38 et de 3 heures et 30 minutes pour la cause AI 55/24 correspondant à un montant en sa faveur de 1'180 fr. 52. La liste des opérations produite ne peut toutefois pas être intégralement suivie. Celle-ci apparaît en effet manifestement excessive, dès lors que le travail effectué dans la cause AI 55/24 a déjà largement été balisé par la confection du mémoire de recours</w:t>
      </w:r>
    </w:p>
    <w:p>
      <w:r>
        <w:t>- 28 - dans la cause AI 23/24. En conséquence, il appert que les dépens, fixés à 4'500 fr., suffisent à couvrir l’indemnité d’office qui aurait été allouée au conseil du recourant, sans qu’il n’y ait besoin de la fixer plus précisément.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