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ZD24.001377 vom 22. März 2024</w:t>
      </w:r>
    </w:p>
    <w:p>
      <w:r>
        <w:t>VD Tribunal cantonal, 2024-03-22, FR</w:t>
      </w:r>
    </w:p>
    <w:p>
      <w:r>
        <w:rPr>
          <w:b/>
        </w:rPr>
        <w:t xml:space="preserve">Quelle: </w:t>
      </w:r>
      <w:r>
        <w:t>https://mcp.opencaselaw.ch/entscheid/vd_gerichte_ZD24.001377</w:t>
      </w:r>
    </w:p>
    <w:p>
      <w:r>
        <w:t>FR: VD_GERICHTE ZD24.001377 du 22 mars 2024</w:t>
      </w:r>
    </w:p>
    <w:p>
      <w:r>
        <w:t>IT: VD_GERICHTE ZD24.001377 del 22 marzo 2024</w:t>
      </w:r>
    </w:p>
    <w:p>
      <w:pPr>
        <w:pStyle w:val="Heading2"/>
      </w:pPr>
      <w:r>
        <w:t>Erwägungen</w:t>
      </w:r>
    </w:p>
    <w:p>
      <w:r>
        <w:rPr>
          <w:b/>
        </w:rPr>
        <w:t>E. 4</w:t>
      </w:r>
    </w:p>
    <w:p>
      <w:r>
        <w:t>a) Selon l’art. 28 al. 1 LAI, l’assuré a droit à une rente (let. a) si sa capacité de gain ou sa capacité d’accomplir ses travaux habituels ne peut pas être rétablie, maintenue ou améliorée par des mesures de réadaptation raisonnablement exigibles, (let. b) s’il a présenté une incapacité de travail d’au moins 40 % en moyenne durant une année sans interruption notable et (let. c) si, au terme de cette année, il est invalide à 40 % au moins. b) Conformément à l’art. 28a al. 1, 1ère phrase, LAI, l’évaluation du taux d’invalidité des assurés exerçant une activité lucrative est régie par l’art. 16 LPGA. Selon cette dernière disposition, pour évaluer le taux d’invalidité, le revenu que l’assuré aurait pu obtenir s’il n’était pas invalide est comparé avec celui qu’il pourrait obtenir en exerçant l’activité qui peut</w:t>
      </w:r>
    </w:p>
    <w:p>
      <w:r>
        <w:t>- 7 - être raisonnablement exigée de lui après les traitements et les mesures de réadaptation, sur un marché du travail équilibré.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 L’art. 28b LAI prévoit que la quotité de la rente est fixée en pourcentage d’une rente entière (al. 1). Pour un taux d’invalidité compris entre 50 et 69%, la quotité de la rente correspond au taux d’invalidité (al. 2). d) Selon l’art. 17 al. 1 LPGA, si le taux d’invalidité du bénéficiaire de rente subit une modification d’au moins 5 points de pourcentage (let. a) ou atteint 100% (let. b), la rente est, d’office ou sur</w:t>
      </w:r>
    </w:p>
    <w:p>
      <w:r>
        <w:t>- 8 - demande, révisée pour l’avenir, à savoir augmentée, réduite ou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les références citées ; TF 9C_718/2009 du 4 février 2010 consid. 1.2 et les références citées).</w:t>
      </w:r>
    </w:p>
    <w:p>
      <w:r>
        <w:rPr>
          <w:b/>
        </w:rPr>
        <w:t>E. 5</w:t>
      </w:r>
    </w:p>
    <w:p>
      <w:r>
        <w:t>En l’espèce, il est constant que l’état de santé de la recourante s’est péjoré depuis la précédente décision de refus de prestations du 11 novembre 2019, sa capacité de travail n’étant plus, depuis novembre 2021, que de 60% dans toute activité (auxiliaire de la petite enfance et autre activité adaptée), contre 100% auparavant. La recourante souffre en effet d’un syndrome de chevauchement entre une maladie de Still, une maladie de Sjögren, et une arthrite séronégative. Dans la décision attaquée, l’OAI a reconnu à l’assurée le droit à une rente s’élevant à 25% d’une rente entière d’invalidité, en considérant qu’elle présentait une incapacité de travail et de gain de 40% dans toute activité. Toutefois, sans atteinte à la santé, la recourante aurait poursuivi son activité de vendeuse à 100%. L’intimé a ainsi admis de revoir sa position et a opéré un nouveau calcul du degré d’invalidité. Il a, en particulier, retenu un revenu sans invalidité dans l’activité de vendeuse de 71'971 fr. 70 en 2022. L’intimé a par ailleurs fixé le revenu avec invalidité sur la base de l’Enquête suisse sur la structure des salaires, dans la mesure où l’assurée avait été licenciée avant le délai de carence d’une année. Il s’est ainsi référé au salaire mensuel brut réalisé dans le domaine de la santé humaine et de l’action sociale par les femmes (ESS 2020, tableau TA1, nn. 86-88) à hauteur de 4'700 fr. pour 40 heures hebdomadaires de travail. Ce montant a été adapté aux heures hebdomadaires de travail effectuées dans la branche, soit à 41,6 heures, et aurait dû été porté à 4'888 fr. (et non à 4'885 fr. 03 comme indiqué dans le calcul de l’intimé). Annualisé, ce montant correspond à un revenu</w:t>
      </w:r>
    </w:p>
    <w:p>
      <w:r>
        <w:t>- 9 - de 58'656 francs. Après indexation (+ 0,6% pour 2021 – et non 2020 comme indiqué – et + 0,8% pour 2022), le revenu annuel s’élève à 59'479 fr. 68 (et non à 59'420 fr. 52). Compte tenu d’une capacité de travail à 60%, ce montant doit être ramené à 35'687 fr. 81 (et non à 35'652 fr. 31). Ainsi, après comparaison des revenus (71'971 fr. 70 - 35'686 fr. 81), il en résulte une perte économique de 36'283 fr. 89, soit un degré d’invalidité de 50,41% (et non de 50,64%) dès le 1er novembre 2022. A noter que l’erreur d’indexation commise, qui se répercute sur les chiffres retenus, ne change rien au fait que la recourante a droit, compte tenu du degré d’invalidité précité, à une rente de 50% d’une rente entière. La décision attaquée doit dès lors être réformée dans cette mesure.</w:t>
      </w:r>
    </w:p>
    <w:p>
      <w:r>
        <w:rPr>
          <w:b/>
        </w:rPr>
        <w:t>E. 6</w:t>
      </w:r>
    </w:p>
    <w:p>
      <w:r>
        <w:t>a) Compte tenu de ce qui précède, le recours doit être admis et la décision attaquée réformée, en ce sens que la recourante a droit à une rente d’invalidité de 50% d’une rente entière, dès le 1er novembre 2022. b) La procédure de recours en matière de contestations portant sur des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Après examen de la liste des opérations déposée le 12 mars 2024 par Procap, compte tenu de l’importance et de la complexité du litige, il convient d’arrêter l’indemnité à 2'500 fr., débours et TVA compris, et de la mettre intégralement à la charge de l’intimé (art.</w:t>
      </w:r>
    </w:p>
    <w:p>
      <w:r>
        <w:rPr>
          <w:b/>
        </w:rPr>
        <w:t>E. 10</w:t>
      </w:r>
    </w:p>
    <w:p>
      <w:r>
        <w:t>et 11 TFJDA [tarif du 28 avril 2015 des frais judiciaires et des dépens en matière administrative ; BLV 173.36.5.1]).</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