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ZD24.001349 vom 10. März 2025</w:t>
      </w:r>
    </w:p>
    <w:p>
      <w:r>
        <w:t>VD Tribunal cantonal, 2025-03-10, FR</w:t>
      </w:r>
    </w:p>
    <w:p>
      <w:r>
        <w:rPr>
          <w:b/>
        </w:rPr>
        <w:t xml:space="preserve">Quelle: </w:t>
      </w:r>
      <w:r>
        <w:t>https://mcp.opencaselaw.ch/entscheid/vd_gerichte_ZD24.001349</w:t>
      </w:r>
    </w:p>
    <w:p>
      <w:r>
        <w:t>FR: VD_GERICHTE ZD24.001349 du 10 mars 2025</w:t>
      </w:r>
    </w:p>
    <w:p>
      <w:r>
        <w:t>IT: VD_GERICHTE ZD24.001349 del 10 marzo 2025</w:t>
      </w:r>
    </w:p>
    <w:p>
      <w:pPr>
        <w:pStyle w:val="Heading2"/>
      </w:pPr>
      <w:r>
        <w:t>Erwägungen</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- 23 -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4. Aux termes de l’art. 28a al. 1 LAI [dans sa teneur en vigueur au 31 décembre 2021], l’art. 16 LPGA s’applique à l’évaluation de l’invalidité des assurés exerçant une activité lucrative. Selon cette disposition,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 La comparaison des revenus s’effectue, en règle générale, en chiffrant aussi exactement que possible les montants des revenus avec et sans invalidité, et en les confrontant l’un avec l’autre, la différence permettant de calculer le taux d’invalidité (méthode générale de comparaison des revenus ; ATF 137 V 334 consid. 3.1.1 ; TF 8C_2/2023 du 7 septembre 2023 consid. 3.1). Dans la mesure où ils ne peuvent être chiffrés exactement, les revenus avec et sans invalidité doivent être estimés d'après les éléments connus dans le cas particulier, après quoi l'on compare entre elles les valeurs approximatives ainsi obtenues (ATF 130 V 343 consid. 3.4 ; 128 V 29 consid. 1).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w:t>
      </w:r>
    </w:p>
    <w:p>
      <w:r>
        <w:t>- 24 - salaire social. Si ces conditions sont réunies, on prendra en compte le revenu effectivement réalisé pour fixer le revenu d'invalide (ATF 135 V 297 consid. 5.2 et les références citées ; TF 9C_276/2014 du 22 octobre 2014 consid. 4.1). b) Pour les personnes de condition indépendante, on peut se référer aux revenus figurant dans l'extrait du compte individuel AVS. En effet, l'art. 25 al. 1 RAI établit un parallèle entre le revenu soumis à cotisation à l'AVS et le revenu à prendre en considération pour l'évaluation de l'invalidité ; le parallèle n'a toutefois pas valeur absolue (TF 9C_308/2021 du 7 mars 2022 consid. 4.2.2 ; TF 9C_153/2020 du 9 octobre 2020 consid. 2, et les références citées). A ce sujet, on rappellera que, selon la jurisprudence, le revenu réalisé avant l'atteinte à la santé ne pourra pas être considéré comme une donnée fiable lorsque l'activité antérieure était si courte qu'elle ne saurait constituer une base suffisante pour la détermination du revenu sans invalidité. En effet, les bénéfices d'exploitation sont généralement faibles au cours des premières années d'exercice d'une activité indépendante, pour diverses raisons (taux d'amortissement élevé sur les nouveaux investissements etc.), et les personnes qui se mettent à leur propre compte ne réalisent pas, au début de leur activité, des revenus équivalents à ceux des entreprises établies depuis de nombreuses années, les entreprises nouvelles devant consentir à des sacrifices importants notamment au niveau du salaire de leurs patrons (cf. ATF 135 V 59 consid. 3.4.6 ; TF 9C_308/2021 du 7 mars 2022 consid. 4.2.2 ; TF 9C_153/2020 du 9 octobre 2020 consid. 2, et les références citées). Le cas échéant, on pourra se fonder sur le revenu moyen d'entreprises similaires ou sur les statistiques de l'ESS (TF 9C_308/2021 du 7 mars 2022 consid. 4.2.2 ; TF 9C_153/2020 du 9 octobre 2020 consid. 2, et les références citées). c) La méthode extraordinaire de comparaison des revenus est une sous-variante de la méthode générale de comparaison des revenus (ATF 128 V 29 ; TF 9C_236/2009 du 7 octobre 2009 consid. 3 et 4).</w:t>
      </w:r>
    </w:p>
    <w:p>
      <w:r>
        <w:t>- 25 -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 personne assurée (TF 8C_1/2020 du 15 octobre 2020 consid. 3.2 et les références citées).</w:t>
      </w:r>
    </w:p>
    <w:p>
      <w:r>
        <w:t>- 26 - d) Lorsque l’activité exercée au sein d’une entreprise après la survenance de l’atteinte à la santé ne met pas pleinement en valeur la capacité de travail résiduelle de l’assuré, celui-ci peut être tenu, en fonction des circonstances subjectives (âge, durée d’activité, formation, genre de l’activité occupée, environnement social, domicile, etc.) et objectives (en particulier, marché du travail équilibré) de mettre fin à son activité indépendante au profit d’une activité salariée plus lucrative (TF 8C_308/2017 du 27 septembre 2017 consid. 4.1 et les références ; 9C_609/2009 du 15 avril 2010 consid. 7.2). Pour un indépendant, tel est le cas notamment lorsque l’intéressé ne peut plus exécuter une part importante des activités de son entreprise malgré le développement de nouvelles activités moins lourdes, alors que la capacité de travail est entière dans une activité adaptée aux limitations fonctionnelles (cf. TF 8C_771/2011 du 15 novembre 2012, où la contribution possible dans l’activité indépendante était de 40 % ; cf. également 9C_609/2009 du 15 avril 2009 consid. 7.3, avec une activité dans l’entreprise limitée à celle d’administrateur au taux de 35 % ; cf. 8C_748/2008 du 10 juin 2009 consid. 4.2.2, où le taux d’activité encore possible dans l’entreprise était évalué à 52 %). Dans de tels cas, la méthode extraordinaire ne peut trouver à s’appliquer (9C_609/2009 du 15 avril 2009 consid. 7.3 ; 8C_748/2008 du 10 juin 2009 consid. 4.2.2). Dans ce contexte,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w:t>
      </w:r>
    </w:p>
    <w:p>
      <w:r>
        <w:t>- 27 -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Dans sa décision, l’intimé a retenu que le recourant avait présenté une incapacité de travail totale dans toute activité dès novembre 2015, puis qu’il avait récupéré dès le 24 avril 2018 une capacité de travail entière dans une activité adaptée aux limitations fonctionnelles suivantes : port de charges moyennes (maximum 10 à 15 kg), franchissement régulier d’escaliers ou d’escabeaux, travail à genou ou en position accroupie, travail prolongé avec les membres supérieurs au-dessus du plan des épaules. L’achèvement des mesures de réadaptation en janvier 2023 avait ensuite amélioré la capacité de gain du recourant de manière à réduire le degré d’invalidité en-dessous du taux minimum ouvrant le droit à une rente, de sorte que le droit à la rente prenait fin au 31 janvier 2023. Pour rendre sa décision, l’intimé a disposé des nombreux rapports médicaux établis en temps réels par les spécialistes traitants, des rapports des médecins-conseils de l’assurance-accidents, ainsi que de l’avis du SMR. A cela s’ajoute le fait que, tout en continuant à gérer son entreprise, le recourant a pu participer à des mesures de réadaptation de septembre 2020 à janvier 2023 puis bénéficier d’une aide au placement. Au stade du recours, l’appréciation médicale de la capacité de travail n’est plus contestée par le recourant, qui a par ailleurs annoncé son engagement en tant que gérant technique d’immeuble dès le 1er janvier</w:t>
      </w:r>
    </w:p>
    <w:p>
      <w:r>
        <w:t>- 28 - 2024 à un taux de 80 %, tandis qu’il continue à gérer son entreprise. La décision peut par conséquent être confirmée sur ce point. b) L’intimé a déterminé les taux d’invalidité selon la méthode ordinaire de comparaison des revenus. Alors qu’il s’est prévalu de l’application de la méthode extraordinaire de comparaison des revenus à l’encontre du premier projet de décision de l’intimé ainsi que tout au long de la procédure en matière d’assurance-accidents, le recourant ne s’y est plus référé au moment de contester le second projet de décision puis la décision objet du présent recours, à juste titre. En effet, comme l’a déjà démontré la Cour de céans dans son arrêt du 7 novembre 2024, cette méthode n’est pas applicable au recourant dès lors qu’il n’est plus en mesure d’exercer une part très importante de son activité indépendante et qu’il n’a pas pu la réorienter vers des activités compatibles avec son état de santé, alors que sa capacité de travail est entière dans une activité adaptée à ses limitations fonctionnelles. Il y a donc lieu de confirmer que l’invalidité du recourant doit être évaluée selon la méthode ordinaire de comparaison des revenus. c) Pour le revenu sans invalidité, l’intimé a retenu le montant de 125'000 fr. en se fondant sur les conclusions de son enquêteur économique des 19 mai et 10 novembre 2020, proposant une fourchette comprise entre 120'000 et 130'000 francs. Sur ce point, l’enquêteur s’est référé, d’une part, à une première analyse de la situation effectuée en juin 2017, dans laquelle il avait fixé le revenu sans invalidité à 129'501 fr. en opérant la moyenne des revenus bruts tirés de l’entreprise figurant dans le compte individuel AVS et augmentés du bénéfice net de l’entreprise pour les années 2008 à 2012. D’autre part, l’enquêteur a constaté dans son rapport du 19 mai 2020 qu’il y avait eu des incapacités de travail antérieures à 2013, tout particulièrement en 2010. Il a ainsi procédé à un nouveau calcul en excluant cette année pour arriver à une moyenne de 124'159 fr. 50, tout en relevant que la seule année sans incapacité de travail était 2012 avec un revenu de 123'302 francs. Enfin, dans son rapport du 10 novembre 2020, l’enquêteur a maintenu que les années</w:t>
      </w:r>
    </w:p>
    <w:p>
      <w:r>
        <w:t>- 29 - 2013 à 2015 ne pouvaient être prises en considération dès lors qu’il y avait eu des incapacités de travail conséquentes et l’impossibilité pour le recourant d’assumer les tâches physiques de son activité dès 2013. Le recourant a exposé pour sa part que les années 2013 à 2015 devaient être prises en compte, dès lors que l’atteinte à la santé invalidante avait débuté avec son accident du 15 novembre 2015, les incapacités de travail subies précédemment ayant eu un impact moindre sur l’exploitation de son entreprise grâce à certaines adaptations. En l’espèce, comme la Cour de céans l’a retenu dans son arrêt du 7 novembre 2024, il y a lieu de tenir compte des années 2010 à 2014. En effet, les années 2008 et 2009 doivent être écartées, car trop proches de l’année de création de l’entreprise. Il faut par ailleurs relever que, si le recourant a subi des incapacités de travail de durées variables dès 2011, il a néanmoins pu adapter le fonctionnement de son entreprise en engageant des auxiliaires pour effectuer les travaux les plus lourds. Cet équilibre relatif a perduré jusqu’à l’accident du 15 novembre 2015. L’atteinte au genou subie lors de ce sinistre a nécessité plusieurs interventions chirurgicales et a entraîné des limitations fonctionnelles plus contraignantes, avec un impact direct sur l’activité déployée par le recourant. L’accident étant survenu au cours de l’année 2015, cet exercice ne peut donc être pris en considération pour établir le revenu sans invalidité. Par ailleurs, il convient de s’en tenir aux revenus soumis à cotisation AVS déclarés par l’entreprise M.________ Sàrl. En effet, les revenus tirés de participations dans d’autres sociétés ne sont pas liés à la capacité de travail de l’assuré, tandis que le bénéfice net annuel de l’entreprise M.________ Sàrl ne peut être assimilé à un revenu dans la mesure où il n’a pas été reversé par l’assemblée générale des associés en tant que prestation salariale soumise à cotisation (cf. art. 5 al. 2 LAVS [loi fédérale du 20 décembre 1946 sur l’assurance-vieillesse et survivants ; RS 831.10] et 804 al. 2 ch. 5 CO [loi fédérale du 30 mars 1911 complétant le Code civil suisse – livre cinquième : droit des obligations ; RS 220]). Les montants à prendre en compte sont donc 124'099 fr. pour 2010, 74'270 fr.</w:t>
      </w:r>
    </w:p>
    <w:p>
      <w:r>
        <w:t>- 30 - pour 2011, 103'146 fr. pour 2012, 197'028 fr. pour 2013 et 200'618 fr. pour 2014. Le recourant a fait valoir, à juste titre, que le revenu sans invalidité devait être indexé à 2018, respectivement à 2023. Lorsqu’il s’agit d’un revenu moyen sur plusieurs années, la jurisprudence admet de procéder à l’indexation sur la valeur moyenne (TF 9C _771/2017 du 29 mars 2018 consid. 3.6.2), ainsi que de se référer aux statistiques d’évolution des salaires nominaux par secteur (ATF 126 V 75 consid. 3a). A cet égard, le tableau T1.93 produit par le recourant propose dès l’année 2011 les mêmes informations que le tableau T1.10, avec une année de base différente. Cela étant, la moyenne pour la période 2010-2014 s’établit à [(124'099 + 74'270 + 103'146 + 197'028 + 200'618) / 5 = ] 139'832 fr. 20, valeur 2012. Selon les chiffres du tableau T1.10, l’indexation à 2018 s’élève à (103.8 - 101.7 =) 2,1 %, de sorte que le revenu sans invalidité applicable au recourant est de 142'768 fr. 68 en 2018. L’indexation de 2012 à 2023 est par ailleurs de (108.7 - 101.7 =) 7 %, portant le revenu sans invalidité à prendre en compte en 2023 à 149'620 fr. 45. d) Concernant le revenu avec invalidité, l’intimé a recouru aux données de l’ESS, ce que le recourant a admis sur le principe. Même s’il a poursuivi l’exploitation de son entreprise à taux réduit, les revenus tirés de celle-ci ne peuvent pas être pris en compte dans le calcul du revenu avec invalidité, dans la mesure où cette activité ne met pas pleinement en valeur sa capacité de travail résiduelle exigible (cf. TF 9C_609/2009 du 15 avril 2010 consid. 8.2.2). aa) Pour l’année 2018, l’intimé a retenu un montant de 67'766 fr. 67 en se référant au tableau TA1_skill_level de l’ESS 2018, tous secteurs confondus, niveau de compétence 1 pour les hommes, adapté à la durée normale du travail de 41,7 heures en 2018, au taux de 100 % et sans abattement supplémentaire. Le recourant s’est rallié à ces chiffres et n’a pas soulevé d’élément susceptible de justifier l’application d’un abattement.</w:t>
      </w:r>
    </w:p>
    <w:p>
      <w:r>
        <w:t>- 31 - A cet égard, la Cour de céans a retenu dans son arrêt du 7 novembre 2024 qu’il ne se justifiait pas de se référer à un domaine de l’ESS en particulier, mais bien de prendre comme référence le revenu moyen qu’un homme peut réaliser tous domaines confondus du tableau TA1 Skill-Level, étant relevé que les activités visées par le tableau TA1_skill_level de l’ESS sont généralement compatibles avec des limitations fonctionnelles légères (cf. TF 9C_303/2022 du 31 mai 2023 consid. 6.3 et les références citées ; 9C_444/2010 du 20 décembre 2010 consid. 2.3). Rappelant que le recourant est titulaire d’un CFC de dessinateur en génie civile, domaine dans lequel il a travaillé durant quelques années après l’obtention de son diplôme, et qu’il ensuite œuvré durant de nombreuses années dans le domaine de la construction ainsi que dans d’autres domaines d’activité en tant que salarié ou indépendant, la Cour de céans a en revanche considéré que la formation et l’expérience du recourant imposaient d’appliquer le niveau de compétence 2. Il n’y a pas lieu de revenir sur cette appréciation dans le cas d’espèce. En effet,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requises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w:t>
      </w:r>
    </w:p>
    <w:p>
      <w:r>
        <w:t>- 32 -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les tâches administratives, l'utilisation de machines et d'appareils électroniques, les services de sécurité et la conduite de véhicules (TF 8C_50/2022 du 11 août 2022 consid. 5.1.1 et les références citées). Dans le tableau TA1_skill_level de l’ESS 2018, applicable dès lors que la décision litigieuse a été rendue postérieurement à sa publication, le revenu correspondant au niveau 2 pour un homme tous secteurs confondus s’élève à 5'649 francs. Après adaptation à la durée normale du travail valable en 2018 (41,7 heures), le revenu avec invalidité s’élève à 70'668 fr. 99. bb) Pour l’année 2023, l’intimé a déterminé dans un premier temps un revenu avec invalidité de 96'940 fr. 43 en se référant à la branche économique n° 68 du tableau TA1_skill_level de l’ESS 2020, niveau de compétence 3, indexé à 2023 et adapté à la durée normale du travail de 41,6 heures dans cette branche économique en 2023, au taux de 100 % et sans abattement supplémentaire. Le niveau de compétence 3 était retenu sur le constat que le recourant bénéficiait d’une expérience de chef d’entreprise dans le domaine du bâtiment couplée aux formations prises en charge dans le cadre du reclassement (cf. Calcul du degré d’invalidité du 20 décembre 2022). Dans ses objections au projet de décision, le recourant a admis le recours à la branche économique n°68 du tableau TA1_skill_level, mais a contesté l’application du niveau de compétence 3. L’intimé a alors revu son calcul dans une prise de position du 31 juillet 2023 réputée faire partie intégrante de la décision et appliqué le niveau de compétence 2, portant le revenu avec invalidité à 77'659 fr. 25. Selon l’avis du service juridique de l’intimé, il se justifiait de relativiser l’importance du parcours professionnel du recourant sur ses possibilités de gain comme gérant technique d’immeuble. Dans son</w:t>
      </w:r>
    </w:p>
    <w:p>
      <w:r>
        <w:t>- 33 - mémoire, le recourant a approuvé l’application du niveau de compétence 2 mais a relevé que l’adaptation à l’horaire moyen de 41,6 heures applicable à la branche économique n° 68 ainsi que l’indexation entraînaient un montant de 77'617 fr. 50. Selon la fiche de calcul du 28 juillet 2023, l’intimé a procédé à une indexation jusqu’à 2022 sur la base de la statistique T39, puis avec une estimation trimestrielle pour 2023 de 1,1 %, les données finales de l’année 2023 n’étant pas disponible à cette date. Le recourant n’explique pas en quoi ces données seraient erronées, étant au surplus relevé que les données définitives pour 2023 n’étaient pas encore publiées au moment du dépôt de son recours. La rectification du niveau de compétence opérée par l’intimé est justifiée, eu égard à la signification des différents niveaux de l’ESS rappelée ci-dessus (consid. 5d/aa). En l’occurrence, le recourant a bénéficié de mesures professionnelles consistant en une formation de base destinée aux personnes désireuses de se réorienter vers le métier de gérant technique, suivie d’un stage de trois mois dans une gérance puis de différentes formations complémentaires permettant d’approfondir les sujets de droit du bail, de comptabilité et de l’entretien des bâtiments. Prévues pour être suivies en cours d’emploi à raison d’environ un jour par semaine, ces formations ont duré moins de cinquante jours au total. Quant à l’expérience dans le bâtiment acquise par le recourant dans l’exercice de son activité indépendante, à savoir le démontage et la démolition de constructions métalliques, le lien avec l’exercice du métier de gérant technique paraît ténu. Aussi, les exigences posées par la jurisprudence pour admettre le niveau de compétence 3 ne sont pas réunies dans le cas d’espèce. Après rectification d’une erreur de calcul dans l’adaptation du chiffre de l’ESS au temps de travail usuel dans la branche concernée, le revenu avec invalidité applicable s’élève à 77'685 fr. 35. e) Il en découle qu’à compter du 24 avril 2018, lorsqu’il a récupéré une capacité de travail entière dans une activité adaptée à ses limitations fonctionnelles, le recourant présentait un degré d’invalidité de</w:t>
      </w:r>
    </w:p>
    <w:p>
      <w:r>
        <w:t>- 34 - 51 % (chiffre arrondi ; cf. ATF 130 V 121 consid. 3.2). En conséquence, le droit à la rente entière a pris fin le 31 juillet 2018 pour céder la place, dès le 1er août 2018, à une demi-rente d’invalidité. Au 1er février 2023, compte tenu du succès des mesures d’ordre professionnel octroyées par l’intimé et de l’augmentation de sa capacité de gain qui en a découlé, le degré d’invalidité du recourant est passé à 48 % (chiffre arrondi ; cf. ATF 130 V 121 consid. 3.2). Le nouveau taux d’invalidité n’atteignant pas une différence d’au moins 5 points de pourcentage, les conditions de la révision posées par l’art. 17 al. 1 LPGA dans sa teneur au 1er janvier 2022 ne sont pas remplies. En conséquence, conformément à la let. b al. 1 et 2 des dispositions transitoires de la modification du 19 juin 2020 (développement continu de l’AI), le droit du recourant à une demi-rente d’invalidité persiste selon le droit en vigueur jusqu’au 31 décembre 2021. f) Pour finir, le recourant a requis l’application de l’art. 26bis LAI, dans sa version entrée en vigueur le 1er janvier 2024. Dans la mesure où la décision litigieuse a été rendue en novembre 2023 et faute de disposition transitoire prévoyant une application rétroactive, les éventuelles conséquences de cette disposition sur le droit à la rente ne sauraient être examinées dans le cadre du présent litige. 6. Le recourant a requis la suspension de la présente procédure jusqu’à droit connu sur le recours déposé en matière d’assurance- accidents en cours de traitement, dès lors que la question litigieuse principale à résoudre était la même. Aux termes de l’art. 25 LPA-VD, l’autorité peut, d’office ou sur requête, suspendre la procédure pour de justes motifs, notamment lorsque la décision à prendre dépend de l’issue d’une autre procédure ou pourrait s’en trouver influencée d’une manière déterminante. La suspension de la procédure comporte toutefois le risque de retarder inutilement la procédure, de sorte qu’elle ne doit intervenir qu’à titre exceptionnel, eu égard à l’exigence de célérité posée par l’art. 29 al. 1</w:t>
      </w:r>
    </w:p>
    <w:p>
      <w:r>
        <w:t>- 35 - Cst. (Constitution fédérale de la Confédération suisse du 18 avril 1999 ; RS 101) (ATF 130 V 94 consid. 5 ; 119 II 386 consid. 1b et les références citées ; 117 V 131 consid. 3). L’autorité saisie dispose d'une certaine marge d'appréciation, dont il doit faire usage en procédant à une pesée des intérêts des parties. Dans les cas limites, l'exigence de célérité l'emporte (ATF 119 II 388 consid. 1b). En l’occurrence, les conditions d’une suspension de cause n’étaient vraisemblablement pas réunies, dans la mesure où le dossier remis par l’intimé avec sa réponse au recours contenait la quasi-totalité du dossier de l’assurance-accidents. Cela étant, la question a perdu son objet puisque l’arrêt AA 111/19 - 116/2024 a été rendu entretemps par la Cour de céans. 7. Le recourant a en outre requis son audition par la Cour de céans à titre de mesure d’instruction, afin d’expliquer l’évolution de son activité professionnelle depuis 2013. Le dossier est cependant complet et permet à la Cour des assurances sociales de statuer en pleine connaissance de cause. Il n’y a dès lors pas lieu de compléter l’instruction par l’audition du recourant, étant au surplus relevé que la valeur probante d’une déposition de partie est faible et que l’intéressé a pu exposer le fonctionnement de son entreprise au cours des nombreux entretiens organisés tant par l’intimé que par l’assurance-accidents. Le juge peut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Vu ce qui précède, le recours doit être admis et la décision sur opposition litigieuse réformée, en ce sens que le recourant a droit à</w:t>
      </w:r>
    </w:p>
    <w:p>
      <w:r>
        <w:t>- 36 - une rente entière d’invalidité du 1er novembre 2016 au 31 juillet 2018, puis à une demi-rente d’invalidité dès le 1er août 2018, sous déduction des indemnités journalières déjà versées. b) La procédure de recours en matière de contestations portant sur des prestations de l’assurance-invalidité est soumise à des frais judiciaires (art. 69 al. 1bis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1'700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