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ZD24.000762 vom 14. März 2025</w:t>
      </w:r>
    </w:p>
    <w:p>
      <w:r>
        <w:t>VD Tribunal cantonal, 2025-03-14, FR</w:t>
      </w:r>
    </w:p>
    <w:p>
      <w:r>
        <w:rPr>
          <w:b/>
        </w:rPr>
        <w:t xml:space="preserve">Quelle: </w:t>
      </w:r>
      <w:r>
        <w:t>https://mcp.opencaselaw.ch/entscheid/vd_gerichte_ZD24.000762</w:t>
      </w:r>
    </w:p>
    <w:p>
      <w:r>
        <w:t>FR: VD_GERICHTE ZD24.000762 du 14 mars 2025</w:t>
      </w:r>
    </w:p>
    <w:p>
      <w:r>
        <w:t>IT: VD_GERICHTE ZD24.000762 del 14 marzo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(Michel Valterio, Commentaire de la loi sur l’assurance-invalidité, Genève/Zurich/Bâle 2018, n° 2 ad art. 28a LAI).</w:t>
      </w:r>
    </w:p>
    <w:p>
      <w:r>
        <w:t>- 10 - aa) Chez les assurés qui exerçaient une activité lucrative à plein temps avant d'être atteints dans leur santé physique, mentale ou psychique, le revenu que la personne aurait pu obtenir si elle n’était pas atteinte dans sa santé (revenu sans invalidité) est comparé avec celui qu’elle pourrait obtenir en exerçant l’activité qui peut encore raisonnablement être exigée d’elle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 cf. Margit Moser-Szeless, in Dupont/Moser-Szeless [édit.], Loi sur la partie générale des assurances sociales, Commentaire romand,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w:t>
      </w:r>
    </w:p>
    <w:p>
      <w:r>
        <w:t>- 11 -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 Pour déterminer la méthode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144 I 28 consid. 2.3 ; 137 V 334 consid. 3.2 et les références ; TF 9C_250/2021 du 24 mars 2022 consid. 2.2).</w:t>
      </w:r>
    </w:p>
    <w:p>
      <w:r>
        <w:rPr>
          <w:b/>
        </w:rPr>
        <w:t>E. 4</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w:t>
      </w:r>
    </w:p>
    <w:p>
      <w:r>
        <w:t>- 12 -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- 13 -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- 14 -</w:t>
      </w:r>
    </w:p>
    <w:p>
      <w:r>
        <w:rPr>
          <w:b/>
        </w:rPr>
        <w:t>E. 6</w:t>
      </w:r>
    </w:p>
    <w:p>
      <w:r>
        <w:t>a) En l’espèce, l’intimé a considéré que la recourante, dans l’hypothèse où elle n’était pas atteinte dans sa santé, aurait exercé son activité lucrative à un taux de 70 % et consacré le reste de son temps à l’accomplissement de ses travaux habituels (statut mixte). b) Lors du dépôt de sa première demande de prestations, en novembre 2010, la recourante, alors mariée et mère d’un enfant, avait indiqué, dans le formulaire de détermination du statut, qu’elle souhaitait exercer une activité à 100 % dans l’hypothèse où elle était en bonne santé. Ce statut avait été confirmé par un rapport d’évaluation économique sur le ménage du 3 mai 2013. A l’occasion de sa seconde demande de prestations du 26 octobre 2020, la recourante, qui avait donné naissance à deux autres enfants dans l’intervalle, a signalé, dans le formulaire de détermination du statut rempli à la demande de l’intimé le</w:t>
      </w:r>
    </w:p>
    <w:p>
      <w:r>
        <w:rPr>
          <w:b/>
        </w:rPr>
        <w:t>E. 11</w:t>
      </w:r>
    </w:p>
    <w:p>
      <w:r>
        <w:t>a) En définitive, le recours, mal fondé, doit être rejeté et la décision rendue le 20 novembre 2023 par l'intimé confirmée.</w:t>
      </w:r>
    </w:p>
    <w:p>
      <w:r>
        <w:t>- 21 -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