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ZD23.055044 vom 2. Mai 2024</w:t>
      </w:r>
    </w:p>
    <w:p>
      <w:r>
        <w:t>VD Tribunal cantonal, 2024-05-02, FR</w:t>
      </w:r>
    </w:p>
    <w:p>
      <w:r>
        <w:rPr>
          <w:b/>
        </w:rPr>
        <w:t xml:space="preserve">Quelle: </w:t>
      </w:r>
      <w:r>
        <w:t>https://mcp.opencaselaw.ch/entscheid/vd_gerichte_ZD23.055044</w:t>
      </w:r>
    </w:p>
    <w:p>
      <w:r>
        <w:t>FR: VD_GERICHTE ZD23.055044 du 2 mai 2024</w:t>
      </w:r>
    </w:p>
    <w:p>
      <w:r>
        <w:t>IT: VD_GERICHTE ZD23.055044 del 2 maggio 2024</w:t>
      </w:r>
    </w:p>
    <w:p>
      <w:pPr>
        <w:pStyle w:val="Heading2"/>
      </w:pPr>
      <w:r>
        <w:t>Erwägungen</w:t>
      </w:r>
    </w:p>
    <w:p>
      <w:r>
        <w:rPr>
          <w:b/>
        </w:rPr>
        <w:t>E. 1</w:t>
      </w:r>
    </w:p>
    <w:p>
      <w:r>
        <w:t>La Cour des assurances sociales doit statuer à nouveau dans cette affaire à la suite de l’arrêt de renvoi du Tribunal fédéral du 30 novembre 2023.</w:t>
      </w:r>
    </w:p>
    <w:p>
      <w:r>
        <w:rPr>
          <w:b/>
        </w:rPr>
        <w:t>E. 2</w:t>
      </w:r>
    </w:p>
    <w:p>
      <w:r>
        <w:t>a) En vertu du principe de l’autorité de l’arrêt de renvoi du Tribunal fédéral, l’autorité cantonale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(ATF 143 IV 214 consid. 5.2.1 ; 135 III 334 consid. 2 ; 133 III 201 consid. 4.2 ; 131 III 91 consid. 5.2 et les références ; voir également TF 8C_3/2022 du 18 janvier 2023 consid. 2.2). b) Dans l’arrêt de renvoi du 30 novembre 2023, le Tribunal fédéral a uniquement examiné la question du revenu sans invalidité, nécessaire à l’évaluation du taux d’invalidité conformément à l’art. 16 LPGA. Cette question était en effet la seule discutée par le recourant dans son recours. Le Tribunal fédéral a considéré que la Cour de céans n’avait pas instruit la question de savoir si le recourant aurait perçu un revenu annuel (brut) de 75'000 fr. en 2020 s’il n’était pas devenu invalide. Il a, partant, annulé l’arrêt cantonal et renvoyé la cause à la Cour de céans pour qu’elle procède à l’administration des preuves nécessaires pour établir de la manière la plus concrète possible le revenu sans invalidité que le recourant aurait perçu en 2020. Après complément d’instruction, la Cour de céans était appelée à rendre un nouvel arrêt sur l’étendue du</w:t>
      </w:r>
    </w:p>
    <w:p>
      <w:r>
        <w:t>- 11 - droit du recourant à une rente de l’assurance-invalidité à compter du 1er mai 2020. c) Aussi, il n’y a pas lieu d’examiner, dans le cadre du présent arrêt, la question de l’éventuelle survenance en 2021 d’une dégradation de l’état psychique du recourant, faute pour celui-ci d’avoir soulevé ce grief dans le cadre de son recours devant la Cour de céans, respectivement dans le cadre de son recours en matière de droit public devant le Tribunal fédéral, alors qu’il aurait pu et dû le faire. Il convient au contraire de s’en tenir au constat selon lequel le recourant dispose depuis le 1er novembre 2019 d’une capacité de travail de 50 % dans une activité adaptée à ses limitations fonctionnelles.</w:t>
      </w:r>
    </w:p>
    <w:p>
      <w:r>
        <w:rPr>
          <w:b/>
        </w:rPr>
        <w:t>E. 3</w:t>
      </w:r>
    </w:p>
    <w:p>
      <w:r>
        <w:t>Cela étant précisé, le litige porte désormais uniquement sur l’étendue du droit du recourant à une rente de l’assurance-invalidité dès le 1er mai 2020, singulièrement sur la question du revenu sans invalidité, nécessaire à l’évaluation du taux d’invalidité conformément à l’art. 16 LPGA.</w:t>
      </w:r>
    </w:p>
    <w:p>
      <w:r>
        <w:rPr>
          <w:b/>
        </w:rPr>
        <w:t>E. 4</w:t>
      </w:r>
    </w:p>
    <w:p>
      <w:r>
        <w:t>a) Pour déterminer le revenu sans invalidité, nécessaire à l’évaluation du taux d’invalidité conformément à l’art. 16 LPGA, il faut établir ce que la personne assurée aurait, au degré de la vraisemblance prépondérante (ATF 139 V 28 consid. 3.3.2), réellement pu obtenir au moment déterminant si elle n’était pas devenue invalide.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(ATF 144 I 103 consid. 5.3 ; 139 V 28 consid. 3.3.2). Le salaire réalisé en dernier lieu comprend tous les revenus d’une activité lucrative (y compris les gains accessoires, la rémunération des heures supplémentaires effectuées de manière régulière) soumis aux cotisations à l’assurance-vieillesse et survivants (TF 9C_611/2021 du 21 novembre 2022 consid. 4.1 et la référence). A cet effet, on se fondera en principe sur les renseignements fournis par l’employeur. Il est toutefois possible de</w:t>
      </w:r>
    </w:p>
    <w:p>
      <w:r>
        <w:t>- 12 - s’écarter du dernier salaire que la personne assurée a obtenu avant l’atteinte à la santé quand on ne peut pas l’évaluer sûrement. Ainsi, lorsque le revenu avant l’atteinte à la santé a été soumis à des fluctuations importantes à relativement court terme, il y a lieu de se baser sur le revenu moyen réalisé pendant une période assez longue (TF 8C_157/2023 du 10 août 2023 consid. 3.2 et les références). b) Les possibilités théoriques de développement professionnel (lié en particulier à un complément de formation) ou d’avancement ne sont pas prises en considération, à moins que des indices concrets rendent très vraisemblables qu’elles se seraient réalisées. Cela pourra être le cas lorsque l’employeur a laissé entrevoir une telle perspective d’avancement ou a donné des assurances en ce sens. En revanche, de simples déclarations d’intention de la personne assurée ne suffisent pas. Des exceptions ne sauraient être admises que si elles sont établies au degré de la vraisemblance prépondérante (TF 9C_271/2022 du 28 novembre 2022 consid. 3.3.2 et la référence).</w:t>
      </w:r>
    </w:p>
    <w:p>
      <w:r>
        <w:rPr>
          <w:b/>
        </w:rPr>
        <w:t>E. 5</w:t>
      </w:r>
    </w:p>
    <w:p>
      <w:r>
        <w:t>a) En l’occurrence, il convient, pour fixer le revenu sans invalidité, de se référer au montant de 75'000 fr. mentionné dans le rapport d’employeur, lequel correspond à la rémunération que le recourant aurait perçu s’il n’était pas devenu invalide. Le complément d’instruction réalisé par la Cour de céans à la demande du Tribunal fédéral a mis en évidence que le recourant aurait, au degré de la vraisemblance prépondérante, bénéficié d’une progression salariale en lien avec le développement de la société qui l’employait et son ancienneté au sein de celle-ci. Compte tenu des renseignements précis donnés par l’employeur, la Cour de céans ne juge pas nécessaire de compléter l’instruction dans la mesure où lesdits renseignements apparaissent suffisants. b) La comparaison d’un revenu sans invalidité de 75'000 fr. avec un revenu d’invalide (indexé à 2020) de 34'461 fr. 80 aboutit à un degré d’invalidité de 54,05 %, arrondi à 54 % (cf. ATF 130 V 121). A l’échéance du délai d’attente d’une année (cf. art. 28 al. 1 LAI), soit le 24 septembre 2019, le recourant pouvait prétendre à une demi-rente de</w:t>
      </w:r>
    </w:p>
    <w:p>
      <w:r>
        <w:t>- 13 - l’assurance-invalidité (cf. art. 28 al. 2 LAI). La demande de prestations ayant toutefois été déposée tardivement le 1er novembre 2019, le droit à la rente ne prend effet que le 1er mai 2020 (cf. art. 29 al. 1 et 3 LAI).</w:t>
      </w:r>
    </w:p>
    <w:p>
      <w:r>
        <w:rPr>
          <w:b/>
        </w:rPr>
        <w:t>E. 6</w:t>
      </w:r>
    </w:p>
    <w:p>
      <w:r>
        <w:t>a) En définitive, le recours, bien fondé, doit être admis et les décisions attaquées réformées, en ce sens que le recourant peut prétendre à une demi-rente d’invalidité à compter du 1er mai 2020.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Le recourant, qui obtient gain de cause, a droit à une indemnité de dépens à titre de participation aux honoraires de son conseil (art. 61 let. g LPGA). Etant donné l’importance et la complexité du litige, il convient d’arrêter l’indemnité de dépens à 2'500 fr., débours et TVA compris, et de la mettre intégralement à la charge de l’intimé (art. 10 et</w:t>
      </w:r>
    </w:p>
    <w:p>
      <w:r>
        <w:rPr>
          <w:b/>
        </w:rPr>
        <w:t>E. 11</w:t>
      </w:r>
    </w:p>
    <w:p>
      <w:r>
        <w:t>TFJDA [tarif du 28 avril 2015 des frais judiciaires et des dépens en matière administrative ; BLV 173.36.5.1]). Cette indemnité couvre le montant qui serait alloué, au titre de l’assistance judiciaire, au mandataire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