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ZD23.054693 vom 26. Juni 2025</w:t>
      </w:r>
    </w:p>
    <w:p>
      <w:r>
        <w:t>VD Tribunal cantonal, 2025-06-26, FR</w:t>
      </w:r>
    </w:p>
    <w:p>
      <w:r>
        <w:rPr>
          <w:b/>
        </w:rPr>
        <w:t xml:space="preserve">Quelle: </w:t>
      </w:r>
      <w:r>
        <w:t>https://mcp.opencaselaw.ch/entscheid/vd_gerichte_ZD23.054693</w:t>
      </w:r>
    </w:p>
    <w:p>
      <w:r>
        <w:t>FR: VD_GERICHTE ZD23.054693 du 26 juin 2025</w:t>
      </w:r>
    </w:p>
    <w:p>
      <w:r>
        <w:t>IT: VD_GERICHTE ZD23.054693 del 26 giugno 2025</w:t>
      </w:r>
    </w:p>
    <w:p>
      <w:pPr>
        <w:pStyle w:val="Heading2"/>
      </w:pPr>
      <w:r>
        <w:t>Erwägungen</w:t>
      </w:r>
    </w:p>
    <w:p>
      <w:r>
        <w:rPr>
          <w:b/>
        </w:rPr>
        <w:t>E. 2</w:t>
      </w:r>
    </w:p>
    <w:p>
      <w:r>
        <w:t>juin 2020 déposée en raison d'une aggravation de l'état de santé de l’assurée depuis avril 2019. Le droit à une rente est ainsi régi par les dispositions légales et réglementaires en vigueur jusqu'au 31 décembre 2021, auxquelles il sera fait référence dans le cadre du présent arrêt.</w:t>
      </w:r>
    </w:p>
    <w:p>
      <w:r>
        <w:rPr>
          <w:b/>
        </w:rPr>
        <w:t>E. 4</w:t>
      </w:r>
    </w:p>
    <w:p>
      <w:r>
        <w:t>a) Lorsque, comme en l'espèce,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w:t>
      </w:r>
    </w:p>
    <w:p>
      <w:r>
        <w:t>- 7 - donc le droit à la rente, s'est produit (ATF 147 V 167 consid. 4. 1 ; 133 V 108 consid. 5. 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 1 et les références).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- 8 - moins 40 % en moyenne durant une année sans interruption notable et si, au terme de cette année, il est invalide à 40 % au moins (art. 28 al. 1 LAI).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- 9 -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 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w:t>
      </w:r>
    </w:p>
    <w:p>
      <w:r>
        <w:t>- 10 -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w:t>
      </w:r>
    </w:p>
    <w:p>
      <w:r>
        <w:rPr>
          <w:b/>
        </w:rPr>
        <w:t>E. 6</w:t>
      </w:r>
    </w:p>
    <w:p>
      <w:r>
        <w:t>a) En l'espèce, l'OAI est entré en matière sur la nouvelle demande du 2 juin 2020. Il convient par conséquent d'examiner si, entre la décision de refus de rente et de mesures professionnelles du 14 septembre 2010 et la décision litigieuse du 9 novembre 2023, l'état de santé de la recourante s'est modifié de façon à influencer son droit à des prestations de l'assurance-invalidité. b) Sur le plan médical, la décision de refus de prestations du 14 septembre 2010 était essentiellement fondée sur le rapport d'expertise réalisé par le Dr T.________ du 24 novembre 2009, ainsi que sur le rapport du SMR du 21 décembre 2009. Le premier, sur le rapport duquel s'est fondé le second, retenait comme diagnostics une maladie anxieuse et dépressive secondaire à la découverte d'une hépatite B chronique, décompensée secondairement à un traitement d'interféron interrompu pour des raisons psychiques en février 2009 avec amendement secondaire progressif de la symptomatologie chez une patiente présentant une hernie discale L2-L3 droite alors peu symptomatique. Ce médecin retenait une pleine capacité de travail dès le 1er janvier 2010 au taux de 50 % dans tout travail léger sans port de lourdes charges en dehors du monde</w:t>
      </w:r>
    </w:p>
    <w:p>
      <w:r>
        <w:t>- 11 - médical. Dans son rapport du 21 décembre 2009, le médecin du SMR mentionnait comme atteintes principales à la santé, une hépatite B chronique, une lombalgie sur hernie discale L2-L3, ainsi qu'une anémie ferriprive. Il retenait une incapacité totale de travailler dans l'activité habituelle et une pleine capacité dans une activité adaptée retenant comme limitations fonctionnelles une fatigabilité et l'impossibilité de porter des charges lourdes. Le 19 août 2009, la Dresse N.________ avait indiqué qu'il n'existait plus d'incapacité de travail sur le plan hépatologique et, le 8 octobre 2009, la psychiatre traitante, la Dresse G.________, avait retenu que l'état anxieux réactionnel à l'hépatite B diagnostiqué était sans effet sur la capacité de travail. c) Dans sa décision du 9 novembre 2023, statuant sur la demande de prestations du 2 juin 2020, l'OAI a retenu, implicitement, que l'état de santé de la recourante ne s'était pas aggravé au point d'influencer son droit aux prestations. Il s'est essentiellement fondé sur l'expertise pluridisciplinaire (rhumatologique, psychiatrique et médecine interne) de L.________ du 17 octobre 2022. Dans leur évaluation consensuelle, les experts ont retenu comme diagnostics pertinents un syndrome douloureux somatoforme persistant (F45.4), évoluant depuis 2017, non incapacitant, en lien avec une symptomatologie douloureuse non entièrement expliquée par des processus physiopathologiques, une majoration de symptômes physiques pour des raisons psychiques (F68.0), des traits de personnalité histrionique, des lombalgies chroniques par lésions dégénératives modérées L4-L5 et L3-L4 sur canal lombaire étroit de manière congénitale sur brièveté pédiculaire, avec une absence de syndrome radiculaire associé, une dysbalance musculaire avec hypotonie de la sangle abdominale, un status après hépatite B chronique HBe Ag négatif en 2008, traitée par Interféron alpha pégylé ayant permis d'obtenir une guérison à vie, et un status après plastie mammaire bilatérale en 2008. Dans l'activité de gérante de bar, les experts ont conclu à une capacité de travail de 70 % avec une baisse de rendement de 30 %, en raison des limitations fonctionnelles liées au tableau lombalgique, à savoir : éviction des ports de charges excédant 10 kg, des travaux forcés ou répétés en antéflexion, en torsion du rachis lombaire et des travaux avec</w:t>
      </w:r>
    </w:p>
    <w:p>
      <w:r>
        <w:t>- 12 - ou sur objets vibrants, avec la nécessité d'alterner les positions assises et debout, avec 10 minutes debout par heure. Selon eux, l’assurée disposait d'une pleine capacité de travail dans une activité adaptée à ses limitations fonctionnelles, depuis toujours.</w:t>
      </w:r>
    </w:p>
    <w:p>
      <w:r>
        <w:rPr>
          <w:b/>
        </w:rPr>
        <w:t>E. 7</w:t>
      </w:r>
    </w:p>
    <w:p>
      <w:r>
        <w:t>a) La recourante conteste la valeur probante de l'expertise pluridisciplinaire du 17 octobre 2022. Elle reproche aux experts de ne pas avoir mentionné dans leur évaluation consensuelle la sténose récessale bilatérale en L4-L5 l'affectant, ainsi que son aggravation, de même que le caractère non stabilisé de son état de santé. Elle fait aussi valoir que l'évaluation de sa capacité de travail dans l'activité exercée jusqu'alors de gérante de bar ne tenait pas compte de la situation réelle. Dans son mémoire de réponse du 2 avril 2024, l'OAI renvoie au contenu de sa prise de position du 9 novembre 2023 dans laquelle il estimait que la valeur probante de cette expertise était entière. b) L'expertise pluridisciplinaire du 17 octobre 2022 est convaincante, se fonde sur une connaissance approfondie de la situation médicale de la recourante et repose sur un exposé clair des faits. Les conclusions des experts, dont rien ne permet de douter des qualifications, sont détaillées, bien étayées et ne laissent pas apparaître d'éléments permettant de soupçonner des contradictions intrinsèques ou des lacunes lors de la genèse de l'expertise. Les experts prennent en compte les avis médicaux essentiels figurant au dossier ainsi que les plaintes exprimées par l’assurée et se basent sur un examen personnel de celle-ci. aa) Contrairement à ce que prétend la recourante, l'expertise ne néglige pas le rapport du Dr O.________ du 7 février 2020. Elle mentionne qu'il ressort de ce rapport que "l'IRM montre un trouble dégénératif lombaire avec cyphose (lordose mesurée à 9°), discopathie L4-L5, protrusion discale médiane, provoquant une sténose récessale bilatérale plus importante que sur l’IRM de 2018. En L3-L4, présence d'un canal lombaire étroit de grade C sur hernie discale médiane et paramédiane gauche, le canal est constitutionnellement petit". Dans leur expertise du 17 octobre 2022, les experts n'expliquent pas pour quelle</w:t>
      </w:r>
    </w:p>
    <w:p>
      <w:r>
        <w:t>- 13 - raison ils n'ont pas retenu le diagnostic de sténose récessale. Cela étant, cette pathologie, qui n'a pas été observée par le radiologue dans son rapport du 17 janvier 2020, est un type spécifique de rétrécissement du canal rachidien et ce diagnostic n'est donc pas incompatible avec celui de "lésions dégénératives modérées L4-L5 et L3-L4 sur canal lombaire étroit retenu par les experts, le second diagnostic pouvant englober le premier. En outre, comme le relève le médecin du SMR dans sa prise de position du</w:t>
      </w:r>
    </w:p>
    <w:p>
      <w:r>
        <w:rPr>
          <w:b/>
        </w:rPr>
        <w:t>E. 9</w:t>
      </w:r>
    </w:p>
    <w:p>
      <w:r>
        <w:t>En définitive, le recours, le recours, mal fondé, doit être rejeté et la décision querellée confirmée. a) La procédure de recours en matière de contestations portant sur des prestations de l'assurance-invalidité est soumise à des frais de justice (art. 69 al. 1 bis LAI). Il convient de les fixer à 600 fr. et de les mettre à la charge de la recourante, vu le sort de ses conclusions. b) II n'y a pas lieu d'allouer de dépens à la recourante, qui n'obtient pas gain de cause (art. 61 let. g LPGA). L'intimé n'y a pas davantage droit, dès lors qu'il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