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ZD23.054521 vom 13. Dezember 2024</w:t>
      </w:r>
    </w:p>
    <w:p>
      <w:r>
        <w:t>VD Tribunal cantonal, 2024-12-13, FR</w:t>
      </w:r>
    </w:p>
    <w:p>
      <w:r>
        <w:rPr>
          <w:b/>
        </w:rPr>
        <w:t xml:space="preserve">Quelle: </w:t>
      </w:r>
      <w:r>
        <w:t>https://mcp.opencaselaw.ch/entscheid/vd_gerichte_ZD23.054521</w:t>
      </w:r>
    </w:p>
    <w:p>
      <w:r>
        <w:t>FR: VD_GERICHTE ZD23.054521 du 13 décembre 2024</w:t>
      </w:r>
    </w:p>
    <w:p>
      <w:r>
        <w:t>IT: VD_GERICHTE ZD23.054521 del 13 dicembre 2024</w:t>
      </w:r>
    </w:p>
    <w:p>
      <w:pPr>
        <w:pStyle w:val="Heading2"/>
      </w:pPr>
      <w:r>
        <w:t>Erwägungen</w:t>
      </w:r>
    </w:p>
    <w:p>
      <w:r>
        <w:rPr>
          <w:b/>
        </w:rPr>
        <w:t>E. 4</w:t>
      </w:r>
    </w:p>
    <w:p>
      <w:r>
        <w:t>Le litige porte sur le droit du recourant à des prestations de l’assurance-invalidité à la suite de sa nouvelle demande du 7 septembre 2021, singulièrement sur le degré d’invalidité à la base de cette prestation.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- 14 -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première phrase, LAI, l’évaluation du taux d’invalidité des assurés exerçant une activité lucrative est régie par l’art. 16 LPGA. L’art. 28b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(al. 3).</w:t>
      </w:r>
    </w:p>
    <w:p>
      <w:r>
        <w:rPr>
          <w:b/>
        </w:rPr>
        <w:t>E. 6</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w:t>
      </w:r>
    </w:p>
    <w:p>
      <w:r>
        <w:t>- 15 - vigueur depuis le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w:t>
      </w:r>
    </w:p>
    <w:p>
      <w:r>
        <w:t>- 16 -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8</w:t>
      </w:r>
    </w:p>
    <w:p>
      <w:r>
        <w:t>En l’espèce, l’office intimé est entré en matière sur la nouvelle demande de prestations déposée le 7 septembre 2021 par le recourant. a) Sur le plan somatique, le recourant présente essentiellement des atteintes dégénératives aux genoux associées à un déconditionnement physique et à des douleurs à la cheville droite. Dans son rapport du 31 janvier 2022, le Dr C.________ a estimé que l’assuré ne pouvait travailler que 2 à 3 heures par jour dans son activité habituelle en raison des sollicitations importantes des genoux, ce qui correspondait à une capacité de travail de 20 % environ ; il disposait en revanche d’une pleine capacité de travail dans une activité adaptée à ses limitations fonctionnelles (position à genoux, accroupie, monter sur une échelle ou un échafaudage à répétition). Ce constat n’est pas remis en cause par d’autres pièces médicales au dossier (cf. rapport de la Prof. H.________ du</w:t>
      </w:r>
    </w:p>
    <w:p>
      <w:r>
        <w:rPr>
          <w:b/>
        </w:rPr>
        <w:t>E. 10</w:t>
      </w:r>
    </w:p>
    <w:p>
      <w:r>
        <w:t>a) aa)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w:t>
      </w:r>
    </w:p>
    <w:p>
      <w:r>
        <w:t>- 22 - mêmes (TF 8C_46/2018 du 11 janvier 2019 consid. 4.4; 9C_901/2017 du 28 mai 2018 consid. 3.3). bb)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w:t>
      </w:r>
    </w:p>
    <w:p>
      <w:r>
        <w:rPr>
          <w:b/>
        </w:rPr>
        <w:t>E. 14</w:t>
      </w:r>
    </w:p>
    <w:p>
      <w:r>
        <w:t>avril 2020 consid. 4.2.2 et les références citées). cc)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Comme déjà indiqué, cette année correspond en principe à celle lors de laquelle le droit éventuel à la rente prend naissance (ATF 134 V 322 consid. 4.1 ; 129 V 222).</w:t>
      </w:r>
    </w:p>
    <w:p>
      <w:r>
        <w:t>- 23 - b) Dans la décision attaquée, l’intimé a déterminé le revenu sans invalidité sur la base de l’ESS 2020 (TA1_tirage_skill_level), dont il a retenu le salaire s’appliquant à la branche économique « Construction » (lignes 41 à 43), pour un homme mettant en valeur un niveau de compétence 1, à savoir 5'731 francs. Dans son écriture du 12 décembre 2023, l’assuré ne critique pas le recours aux statistiques salariales, pas plus qu’il ne remet en question les étapes intermédiaires du calcul opérées par l'office AI (adaptation du salaire statistique à la durée hebdomadaire moyenne usuelle dans les entreprises et indexation selon l'ISS) ; en revanche, il estime que l’intimé aurait dû lui attribuer un niveau de compétence 4, à savoir un revenu de 9'367 francs. aa) En l’occurrence, le recourant est au bénéfice d’un certificat fédéral de capacité de peintre en bâtiment, profession qu’il a pratiquée jusqu’en 1994 en tant que salarié, avant de l’exercer à titre indépendant entre 1994 et 2010. Des difficultés financières l’ont contraint à devoir rechercher une activité salariée dans le domaine de la pose de papiers peints, dès mai 2010, entrecoupée de missions temporaires, avant d’être engagé le 1er février 2012 en qualité de poseur de papiers-peints pour le compte de l’entreprise S.________ SA. Dès le mois d’août 2016, l’assuré a travaillé en tant que poseur de papiers-peints au sein de la société G.________ Sàrl, dont il avait été le fondateur et l’associé-gérant. Force est ainsi de constater que l’assuré a exercé principalement une activité manuelle de poseur de papiers peints, seule activité pour laquelle il dispose d'une formation professionnelle. Il a en outre exposé que, dans sa première société, son épouse s’occupait de toutes les tâches administratives (cf. rapport d’expertise du Dr A.________ du 12 avril 2013, p. 3). Son expérience en matière de travail administratif apparaît ainsi peu étendue. En ce qui concerne l'expérience professionnelle de plusieurs années dont peut se prévaloir l'assuré – sans formation commerciale ni autres qualifications particulières acquises pendant l'exercice de la profession –, elle ne justifie pas à elle seule un classement supérieur au niveau de compétence 1. Au vu du parcours professionnel de l'assuré, de son âge (soit cinquante-sept ans en 2022) et de son absence de toute formation en dehors de la scolarité obligatoire, il paraît peu vraisemblable</w:t>
      </w:r>
    </w:p>
    <w:p>
      <w:r>
        <w:t>- 24 - qu'il puisse prétendre à un revenu annuel de 112'404 francs. En effet, il ressort de l’extrait du compte individuel AVS du 22 septembre 2021 un revenu annuel oscillant entre 24'347 fr. en 2013 et 51'164 fr. en 2020, le revenu le plus élevé ayant été atteint en 2016 à hauteur de 52'991 francs. Par ailleurs, l’assuré a indiqué qu’en 2021, il percevrait un salaire annuel de 54'000 fr., à savoir 4'500 fr. par mois, part au treizième salaire comprise (cf. questionnaire pour l’employeur complété le 5 novembre 2021). bb) Il convient donc de calculer le revenu sans invalidité du recourant en se fondant sur le niveau de compétence 1 et la ligne 41-43 (construction), étant relevé qu’il y a lieu de se référer à l’ESS 2022, puisque ces données sont désormais disponibles. Conformément au Tableau TA1_tirage_skill_level (secteur privé), le salaire auquel peuvent prétendre les hommes s’élève à 5'825 fr., part au treizième salaire comprise. Comme les salaires bruts standardisés tiennent compte d’un horaire de travail de quarante heures, soit une durée hebdomadaire inférieure à la moyenne des entreprises du secteur de la construction (ligne 41-43) en 2022 (41,2 heures), le revenu sans invalidité s’élève à 71'997 francs. c) aa) Quant au revenu d’invalide, le recourant estime que c’est le montant de 41'160 fr., en lieu et place du montant de 38'926 fr. qui devrait être retenu pour la comparaison des revenus. Or le montant de 41'160 fr. figurant dans la première page de la décision du 13 novembre 2023 correspond au revenu annuel moyen déterminant et représente la base de calcul utilisée pour calculer la quotité de la rente d’invalidité. Revenu d’invalide et revenu annuel moyen déterminant sont deux notions distinctes. Le revenu d’invalidité représente le revenu que l'assuré pourrait obtenir en exerçant l’activité qui peut raisonnablement être exigée de lui compte tenu de son état de santé (cf. art. 16 LPGA) ; il permet de calculer le taux d'invalidité selon la méthode générale de la comparaison des revenus et, partant, de déterminer le droit ou non d'un assuré à une rente d'invalidité. Le revenu annuel moyen déterminant, lui, sert de base au calcul du montant proprement dit de cette rente (cf. art.</w:t>
      </w:r>
    </w:p>
    <w:p>
      <w:r>
        <w:t>- 25 - 29bis ss LAVS, applicables par renvoi de l’art. 36 al. 2 LAI). La fixation de l'un et de l'autre sont soumis à des règles différentes. Comme déjà indiqué, le revenu d’invalide s'évalue, en règle générale, en se fondant sur les salaires bruts standardisés (valeur centrale) dans l’économie privée (tableau TA1_skill_level), tous secteurs confondus (RAMA 2001 n° U 439 p. 347 ; voir également TF 8C_205/2021 du 4 août 2021 consid. 3.2 ; art. 26bis al. 1 et 2 RAI). bb) Pour calculer le revenu d’invalide, il convient de se fonder sur le salaire de référence auquel peuvent prétendre les hommes effectuant des activités physiques et manuelles simples dans le secteur privé (production et services), soit en 2022, 63’660 fr. par année (5'305 fr. x 12), part au treizième salaire comprise (Enquête suisse sur la structure des salaires, niveau de compétence 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Après adaptation de ce montant à l'horaire de travail moyen en 2022 (41,7 heures par semaine), le revenu d’invalide s’élève à 66’365 fr. 55, ramené à 39'819 fr. 35 compte tenu d’une capacité de travail de 60 %. cc) aaa) Selon l’art. 26bis al. 3 RAI (dans sa version en vigueur du 1er janvier 2022 au 31 décembre 2023),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opérée sur la valeur statistique. Dans la mesure où l’assuré dispose d’une capacité de travail de 60 % dans une activité adaptée à son état de santé, l’office AI n’a, en</w:t>
      </w:r>
    </w:p>
    <w:p>
      <w:r>
        <w:t>- 26 - application de cette disposition, procédé à aucun abattement sur le revenu d’invalide (cf. fiche de calcul du degré d’invalidité du 22 février 2023). bbb) aaaa) A la suite d’une modification législative en vigueur depuis le 1er janvier 2024 (RO 2023 635), l’art. 26bis al. 3 RAI prévoit désormais qu’une déduction de 10 % est opérée sur la valeur statistique visée à l’al. 2. Si, du fait de l’invalidité, l’assuré ne peut travailler qu’avec une capacité fonctionnelle au sens de l’art. 49 al. 1bis RAI de 50 % ou moins, une déduction de 20 % est opérée ; aucune déduction supplémentaire n’est possible.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 dans le cas où les capacités fonctionnelles de la personne assurée ne lui permettent de travailler qu’à un taux d’occupation de 50 % ou moins (cf. art. 26bis al. 3 RAI), le Conseil fédéral avait choisi une autre voie (consid. 9.4.3). Par conséquent, si en raison des circonstances du cas d’espèce, le salaire statistique des ESS doit être adapté au-delà de ce que prévoit l’art. 26bis al. 3 RAI, il y a lieu de recourir, en complément, à la jurisprudence appliquée jusqu’à présent par le Tribunal fédéral (consid. 10.6). Seuls les droits à la rente ayant pris naissance entre le 1er janvier 2022 et le 31 décembre 2023 sont concernés par cet arrêt. Lors de la détermination du revenu avec invalidité sur la base de données statistiques, il faut donc également examiner la pertinence de l’application</w:t>
      </w:r>
    </w:p>
    <w:p>
      <w:r>
        <w:t>- 27 - d’un éventuel abattement dû à l’atteinte à la santé conformément à la jurisprudence en vigueur avant le 1er janvier 2022. Cela signifie qu’en plus de la déduction de 10 % pour le travail à temps partiel, il faut procéder à un éventuel abattement dû à l’atteinte à la santé, qui tienne compte des autres caractéristiques, telles que les limitations qualitatives qui n’ont pas déjà pu être prises en compte lors de la détermination de la capacité fonctionnelle ou les années de service. La déduction pour travail à temps partiel doit être déterminée sur la base de l’art. 26bis al. 3 RAI et ne doit pas être prise en compte pour déterminer un éventuel abattement dû à l’atteinte à la santé (pas de double prise en compte du même facteur). Conformément à la jurisprudence en vigueur avant le 1er janvier 2022 (ATF 148 V 174 consid. 6.3 et les références ; 135 V 297 consid. 5.2 ; 134 V 322 consid. 5.2 et les références), l’abattement peut s’élever tout au plus à 25 % (y compris une éventuelle déduction de 10 % pour le travail à temps partiel ; cf. lettre circulaire AI n° 445 du 26 août 2024 publiée par l’Office fédéral des assurances sociales). bbbb) En l’espèce, il convient, en application de l’art. 26bis al. 3 RAI dans sa teneur en vigueur dès le 1er janvier 2024, de retenir un abattement de 10 % sur le revenu d’invalide, sans qu’un autre critère pertinent n’entre en ligne de compte. En effet, les limitations fonctionnelles ont été expressément prises en considération dans le taux d’activité réduit de 60 %. L'âge du recourant au moment de la naissance du droit à la rente (56 ans) ne permet pas non plus de procéder à un abattement. Le recourant se trouvait alors en effet encore relativement éloigné de l'âge de la retraite et, compte tenu de ses diverses expériences professionnelles et de la réadaptation effectuée dans un nouveau métier à près de 50 ans, malgré un trouble psychique déjà installé, il a démontré avoir encore une certaine capacité d’adaptation sur le plan professionnel. Il s’ensuit que le revenu d’invalide s’élève à 35'837 fr. 40. d) La comparaison d’un revenu sans invalidité de 71’997 fr. avec un revenu d’invalide de 35’837 fr. 40 conduit à un degré d’invalidité 50,22 % (arrondi à 50 % ; ATF 130 V 121 consid. 3.2), taux qui ouvre droit à une rente d’invalidité de 50 % d’une rente entière (art. 28b al. 2 LAI)</w:t>
      </w:r>
    </w:p>
    <w:p>
      <w:r>
        <w:t>- 28 - depuis le 1er mars 2022, compte tenu du délai d’attente d’une année et de la date du dépôt de la demande de prestations en septembre 2021 (art. 28 al. 1 et 29 al. 1 LAI ; cf. considérants 5b et 5d supra). e) Au vu de l’issue du litige, il n’y a pas lieu de donner suite à la requête du recourant tendant à la mise en œuvre de mesures d’instruction complémentaires sous la forme d’une nouvelle expertise psychiatrique et de l’audition de la Prof. H.________. 11. En définitive, il y a lieu d’admettre partiellement le recours et de réformer les décisions des 13 novembre et 7 décembre 2023, en ce sens que B.________ a droit à une rente d’invalidité de 50 % d’une rente entière d’invalidité à compter du 1er mars 2022. 12. La procédure de recours en matière de contestations portant sur des prestations de l’assurance-invalidité est soumise à des frais de justice (art. 69 al. 1bis LAI). Il convient de les fixer à 600 fr. et de les mettre à la charge de la partie intimée, vu l’issue du litige (art. 55 al. 2 LPA-VD).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