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ZD23.053729 vom 15. Juli 2024</w:t>
      </w:r>
    </w:p>
    <w:p>
      <w:r>
        <w:t>VD Tribunal cantonal, 2024-07-15, FR</w:t>
      </w:r>
    </w:p>
    <w:p>
      <w:r>
        <w:rPr>
          <w:b/>
        </w:rPr>
        <w:t xml:space="preserve">Quelle: </w:t>
      </w:r>
      <w:r>
        <w:t>https://mcp.opencaselaw.ch/entscheid/vd_gerichte_ZD23.053729</w:t>
      </w:r>
    </w:p>
    <w:p>
      <w:r>
        <w:t>FR: VD_GERICHTE ZD23.053729 du 15 juillet 2024</w:t>
      </w:r>
    </w:p>
    <w:p>
      <w:r>
        <w:t>IT: VD_GERICHTE ZD23.053729 del 15 luglio 2024</w:t>
      </w:r>
    </w:p>
    <w:p>
      <w:pPr>
        <w:pStyle w:val="Heading2"/>
      </w:pPr>
      <w:r>
        <w:t>Erwägungen</w:t>
      </w:r>
    </w:p>
    <w:p>
      <w:r>
        <w:rPr>
          <w:b/>
        </w:rPr>
        <w:t>E. 27</w:t>
      </w:r>
    </w:p>
    <w:p>
      <w:r>
        <w:t>janvier 2021. Celui-ci ne saurait en particulier être suivi lorsqu’il fait valoir que le droit à la rente entière d’invalidité a été admis sur la base d’une instruction lacunaire parce que la situation de la recourante n’aurait pas été examinée par son service de réadaptation professionnelle, auquel il incombe notamment d’établir le préjudice économique. Quoi qu’en dise l’office intimé, la décision du 27 janvier 2021 octroyant une rente entière d’invalidité à la recourante reposait sur un dossier médical suffisant qui laissait apparaître que la recourante n’était apte à reprendre l’exercice de son activité habituelle que dans une mesure limitée (10 % du 11 mai 2019 au 31 janvier 2020 ; 30 % du 1er février 2020 au 30 avril 2020 ; et 10 % à compter du 1er mai 2020). Ainsi, rien ne permet de considérer que l’office intimé aurait fait à l’époque un usage manifestement erroné de son pouvoir d’appréciation ou violé le droit fédéral en procédant à une comparaison en pour-cent. En effet, l’application de cette méthode était admissible en l’espèce puisque, d’une part, la recourante a poursuivi (à un taux réduit) son activité de conseillère financière auprès du même employeur et, d’autre part, son revenu avec invalidité aurait été difficile à chiffrer dans la mesure où elle était entièrement rémunérée par des commissions de plusieurs natures (cf. TF 8C_46/2023 du 26 octobre 2023 consid. 3.2 ; TF 9C_237/2016 du 24 août 2016 consid. 2.2). Dans ces conditions, l’office intimé pouvait valablement renoncer à appliquer la méthode de la comparaison des revenus au sens de l’art. 16 LPGA en vue de déterminer le degré d’invalidité de la recourante, une telle comparaison n’apparaissant pas nécessaire au vu des circonstances. S’il s’avère ultérieurement, à la suite d’un examen plus minutieux de la situation, que l’instruction ou l’appréciation médicale du cas avait été faite de manière qui peut aujourd’hui sembler critiquable, cela ne rend pas pour autant la décision prise sur cette base comme étant manifestement erronée au regard de la situation de fait ou de droit.</w:t>
      </w:r>
    </w:p>
    <w:p>
      <w:r>
        <w:t>- 13 - c) Révision procédurale au sens de l’art. 53 al. 1 LPGA aa)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et les références citées ; 143 V 105 consid. 2.3 et les références citées). La révision procédurale est soumise à un délai relatif de nonante jours dès la découverte du motif de révision, ainsi qu’à un délai absolu de dix ans qui commence à courir avec la notification de la décision (cf. art. 67 al. 1 PA [loi fédérale du 20 décembre 1968 sur la procédure administrative ; RS 172.021] en relation avec l'art. 55 al. 1 LPGA ; cf. TF 8C_434/2011 du 8 août 2011 consid. 3, in SVR 2012 UV n° 17 p. 63).</w:t>
      </w:r>
    </w:p>
    <w:p>
      <w:r>
        <w:t>- 14 - bb) En l’espèce, il y a lieu de relever que l’information selon laquelle la recourante a pu, malgré son atteinte à la santé, conserver un niveau de rémunération sensiblement similaire à celui qu’elle avait avant la survenance de l’atteinte à la santé constitue indiscutablement un fait nouveau important découvert postérieurement à la décision du 27 janvier 2021 et susceptible de justifier une révision procédurale. Toutefois, il appert que l’office intimé a pris connaissance des revenus réalisés par la recourante durant les années 2020 et 2021 le 15 novembre 2022, date à laquelle ledit office a enregistré dans le dossier de la recourante l’extrait de son compte individuel comprenant les années en question. Ainsi, l’office intimé a agi tardivement en envoyant son projet de décision le 31 mars 2023, le droit de demander la révision procédurale étant périmé à cette date. d) Compte tenu de ce qui précède, l’office intimé ne peut se prévaloir d’aucun motif l’autorisant à revenir sur sa décision d’octroi de rente du 27 janvier 2021, si bien qu’il y a lieu d’admettre le recours et d’annuler la décision attaquée. 6. a) En définitive, le recours doit être admis et la décision attaquée annulée. b) La procédure de recours en matière de contestations portant sur des prestations de l’assurance-invalidité est soumise à des frais de justice (art. 69 al. 1bis LAI). Il convient de les fixer à 600 fr. et de les mettre à la charge de l’intimé,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l’office intimé.</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