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ZD23.051153 vom 22. Juli 2024</w:t>
      </w:r>
    </w:p>
    <w:p>
      <w:r>
        <w:t>VD Tribunal cantonal, 2024-07-22, FR</w:t>
      </w:r>
    </w:p>
    <w:p>
      <w:r>
        <w:rPr>
          <w:b/>
        </w:rPr>
        <w:t xml:space="preserve">Quelle: </w:t>
      </w:r>
      <w:r>
        <w:t>https://mcp.opencaselaw.ch/entscheid/vd_gerichte_ZD23.051153</w:t>
      </w:r>
    </w:p>
    <w:p>
      <w:r>
        <w:t>FR: VD_GERICHTE ZD23.051153 du 22 juillet 2024</w:t>
      </w:r>
    </w:p>
    <w:p>
      <w:r>
        <w:t>IT: VD_GERICHTE ZD23.051153 del 22 luglio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w:t>
      </w:r>
    </w:p>
    <w:p>
      <w:r>
        <w:t>- 18 -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w:t>
      </w:r>
    </w:p>
    <w:p>
      <w:r>
        <w:rPr>
          <w:b/>
        </w:rPr>
        <w:t>E. 4.3</w:t>
      </w:r>
    </w:p>
    <w:p>
      <w:r>
        <w:t>et les références citées). S’agissant spécialement du succès du traitement ou la résistance au traitement, le déroulement et l’issue des traitements sont d’importants indicateurs du degré de gravité. L’échec définitif d’une thérapie médicalement indiquée et réalisée selon les règles de l’art, avec une coopération optimale de l’assuré signale un pronostic négatif. Les troubles psychiques dont il est ici question ne sont considérés comme invalidants que s’ils sont graves et ne peuvent plus être traités. L’évolution d’un trouble psychique vers un état chronique n’est la plupart du temps pas très utile pour en évaluer le degré de gravité : sans une évolution de longue date et consolidée, une incapacité de travail invalidante n’est guère concevable (ATF 143 V 418 consid. 5.2.2 ; 141 V 281 consid. 4.3.1.2 et les références citées). cb)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w:t>
      </w:r>
    </w:p>
    <w:p>
      <w:r>
        <w:t>- 23 -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- 19 -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w:t>
      </w:r>
    </w:p>
    <w:p>
      <w:r>
        <w:t>- 20 - constatations du médecin de l’assurance (ATF 135 V 465 consid. 4.5 et 4.6 et les références citées ; TF 8C_281/2019 du 19 mai 2020 consid. 5.1).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c)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w:t>
      </w:r>
    </w:p>
    <w:p>
      <w:r>
        <w:t>- 21 - en considération s’il a trait à la situation antérieure à cette date (ATF 99 V 98 consid. 4 ; TF 8C_239/2020 du 19 avril 2021 consid. 7.2.1).</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w:t>
      </w:r>
    </w:p>
    <w:p>
      <w:r>
        <w:t>- 22 - mises de côté ; d’autre part, des ressources mobilisables par la personne assurée peuvent être tirées du contexte de vie de ce dernier, ainsi le soutien dont elle bénéficie dans son réseau social (ATF 141 V 281 consid.</w:t>
      </w:r>
    </w:p>
    <w:p>
      <w:r>
        <w:rPr>
          <w:b/>
        </w:rPr>
        <w:t>E. 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8</w:t>
      </w:r>
    </w:p>
    <w:p>
      <w:r>
        <w:t>février 2024 doivent être pris en considération, bien que ces pièces aient été établies postérieurement à la décision querellée (cf. consid. 5.c ci- dessus), ce qui n’est au demeurant pas contesté par les parties.</w:t>
      </w:r>
    </w:p>
    <w:p>
      <w:r>
        <w:rPr>
          <w:b/>
        </w:rPr>
        <w:t>E. 9</w:t>
      </w:r>
    </w:p>
    <w:p>
      <w:r>
        <w:t>a) Sur le plan somatique, les médecins-conseils de l’Office AI ont retenu les diagnostics suivants : - Des lombalgies chroniques non déficitaires dans le cadre d’une anomalie transitionnelle avec lombalisation partielle de la vertèbre sacrée S1 ; - Des douleurs aux pieds sans substrats organiques ; - Des pieds plats. Le Dr G.________ a pour sa part diagnostiqué des douleurs insertionnelles multiples fibromyalgiformes. Quant au Dr C.________, il a posé les diagnostics de lombalgies chroniques, de douleurs plantaires d’origine statique depuis 2015-2016 et de pieds plats. Ainsi, tant les médecins traitants du recourant que le SMR ont constaté qu’il souffrait de douleurs chroniques aux lombaires et aux pieds, et qu’il présentait des pieds plats. Dans ces conditions, les diagnostics retenus par le SMR sur le plan physique ne prêtent pas le flanc à la critique et peuvent être confirmés. b) Selon le SMR, ces affections n’entraînent aucune incapacité de travail durable, mais nécessitent que le recourant ne porte pas de charges de plus de dix à quinze kilogrammes en porte-à-faux de manière répétitive. À l’instar du SMR, les Drs C.________ et G.________ ont tous deux considéré que leur patient disposait d’une pleine capacité de travail dans une activité adaptée, à condition qu’il s’abstienne de porter des</w:t>
      </w:r>
    </w:p>
    <w:p>
      <w:r>
        <w:t>- 25 - charges trop lourdes, la limite ayant été fixée à cinq kilogrammes par le premier médecin précité et à quinze kilogrammes par le second. Les avis des médecins-conseils de l’Office AI et des médecins traitants du recourant sont convergents s’agissant des affections somatiques et n’ont pour le surplus pas été contestés par celui-ci. Dans ces conditions, les conclusions du SMR sur le plan de la santé physique ne prêtent pas le flanc à la critique.</w:t>
      </w:r>
    </w:p>
    <w:p>
      <w:r>
        <w:rPr>
          <w:b/>
        </w:rPr>
        <w:t>E. 10</w:t>
      </w:r>
    </w:p>
    <w:p>
      <w:r>
        <w:t>a) aa) Sur le plan psychique, se fondant sur les éléments résultant du dossier médical du recourant et leurs observations cliniques, le Dr F.________ et la Dre T.________ ont retenu les diagnostics suivants : - Trouble de l’adaptation avec réaction dépressive prolongée ; - Trouble somatoforme sans précision. Ils ont posé le premier diagnostic au vu de la situation stressante prolongée à laquelle le recourant avait été exposé au début de l’année 2021, des symptômes en ayant résulté, du bon fonctionnement du traitement introduit et du rétablissement progressif, éléments correspondant aux critères de cette maladie. Les médecins traitants du recourant ont également retenu ce diagnostic (cf. rapports médicaux du Dr N.________ et de la Dre M.________ des 11 et 30 août 2022). Le second diagnostic a été retenu compte tenu des différentes atteintes physiques ressenties par le recourant (douleurs aux pieds et dorsales, gonalgies, palpitations, diarrhées, pyrosis, vertiges orthostatiques et céphalées frontales), du fait que les douleurs décrites ne correspondaient pas à celles habituellement ressenties en présence des atteintes physiques diagnostiquées, du manque de compliance du patient aux traitements proposés et de l’impossibilité de rattacher ces symptômes à une autre maladie classifiée. L’avis des médecins traitants du recourant et du SMR étant convergents s’agissant de la première affection et le second diagnostic</w:t>
      </w:r>
    </w:p>
    <w:p>
      <w:r>
        <w:t>- 26 - étant dûment motivé, l’analyse des médecins-conseils à cet égard ne prête pas le flanc à la critique. ab) Les médecins du SMR ont également constaté un léger ralentissement psychomoteur chez le recourant, une attitude débonnaire, une difficulté à mentaliser, une tendance à majorer les symptômes et à somatiser ainsi que des ressources semblant très restreintes. Ces éléments les ont conduits à affirmer que le recourant présentait certainement une personnalité entravée dans son développement, probablement en lien avec des événements vécus durant l’enfance. Ils ont cependant renoncé à poser un diagnostic, expliquant qu’ils n’avaient pas pu investiguer un éventuel trouble de la personnalité ou un passé de traumatismes infantiles, compte tenu de ce que l’anamnèse scolaire, professionnelle, psychosociale et psychiatrique n’avait pas pu être établie. Certes, le recourant s’est très peu exprimé au sujet de son passé lors de l’entretien avec la Dre T.________, rendant impossible l’établissement de son anamnèse. De même, les rapports de ses médecins traitants sont très pauvres en renseignements à ce sujet, le recourant s’étant vraisemblablement peu exprimé sur son vécu, même dans le cadre de son suivi. Il en ressort toutefois que l’intéressé souffre de troubles de l’attention et de la concentration, ainsi que d’une faible capacité d’élaboration. Par ailleurs, ces rapports médicaux établissent que la symptomatologie dépressive s’est améliorée au fil du temps, au contraire des troubles de l’attention et de la concentration qui ont perduré (cf. rapports du Dr N.________ et de la Dre M.________, de la J.________ des 6 août et 25 novembre 2021, 11 et 30 août 2022). Au vu des symptômes constatés sur la durée et de la suspicion d’une personnalité entravée dans son développement, le manque d’informations concernant l’anamnèse du recourant ne saurait justifier en soi l’absence de diagnostic. Le SMR aurait dû recourir à des examens additionnels afin d’examiner ensuite en pleine connaissance de cause si un autre diagnostic devait être posé concernant le recourant.</w:t>
      </w:r>
    </w:p>
    <w:p>
      <w:r>
        <w:t>- 27 - Au vu de ce qui précède, il y a lieu de constater, à ce stade déjà, que la santé psychique du recourant n’a pas fait l’objet d’un examen et d’un diagnostic dans les règles de l’art. ac) À cela s’ajoute que les conclusions auxquelles est parvenu le SMR sur le plan psychique ont été sérieusement remises en doute par le test psychologique réalisé au mois de juillet 2023 et le rapport des médecins traitants du recourant du 31 octobre 2023. Il résulte du premier document susmentionné que l’intéressé souffre d’un retard mental léger et qu’il présente des difficultés importantes dans l’utilisation du langage et sa compréhension, sur le plan de la concentration, de l’attention et de la rapidité de réflexion notamment. L’anamnèse du recourant, établie à l’aide de sa sœur, figure dans le second document. On y apprend notamment que celui-ci a vécu un parcours migratoire traumatisant de plusieurs années, qu’il a présenté, dès son plus jeune âge, des problèmes de réflexion et de mémoire, que sa scolarité a été chaotique et qu’il a été confronté à d’importants conflits familiaux. Au vu des éléments ressortant de cette anamnèse, du test psychologique et de leurs observations, les Drs I.________ et D.________ ont dans un premier temps posé le diagnostic de retard mental léger. Toutefois, après avoir souligné l’aide importante apportée par les psychologues durant le test de l’été 2023, ils ont affirmé que le retard mental était certainement plutôt de degré moyen, ce diagnostic étant par ailleurs plus congruent à la clinique. Ayant été invité à se prononcer sur ces nouveaux éléments par l’intimé, le Dr P.________, du SMR, a établi un très bref document intitulé « analyse ». Il y a indiqué que les observations cliniques faites par ses collègues dans leur rapport de février 2023 correspondaient aux symptômes habituellement rattachés à un retard mental léger, de sorte que ce diagnostic n’avait pas d’incidence sur les conclusions de ceux-ci.</w:t>
      </w:r>
    </w:p>
    <w:p>
      <w:r>
        <w:t>- 28 - D’une part, les médecins traitants du recourant ont retenu un autre diagnostic que celui auquel se réfère le Dr P.________, c’est-à-dire celui de retard mental moyen et non léger. D’autre part, ce médecin n’a pas dûment motivé son avis, s’étant limité à des considérations d’ordre général, sans procéder à une analyse concrète de la situation du recourant à l’aune des nouveaux éléments portés à sa connaissance. Il a de plus remis en cause la validité des tests psychologiques au motif qu’ils n’avaient pas été suivis d’examens neuropsychologiques, sans pour autant en conclure que l’instruction devait être poursuivie, afin de pouvoir procéder ensuite à une analyse fondée sur des résultats solides. ad) Au vu de ce qui précède, le SMR n’a pas suffisamment motivé son appréciation concernant le diagnostic de retard mental, s’étant de plus fondé sur un dossier incomplet. b) De surcroît, le SMR n’a pas procédé à un examen structuré de la capacité de travail du recourant au moyen du catalogue d’indicateurs défini par la jurisprudence fédérale (cf. consid. 6 ci-dessus). ba) Premièrement, ce service n’a pas correctement examiné les indicateurs posés par la jurisprudence fédérale sous l’angle du degré de gravité fonctionnel. Les médecins du SMR ont indiqué que la période de maladie du recourant avait été marquée par un important isolement social, tant vis-à-vis des personnes de sa famille avec qui il avait encore du contact qu’avec son entourage amical. Le SMR n’a toutefois pas examiné ce critère en lien avec les autres indicateurs et n’en a tiré aucune conclusion, ce qu’il aurait pourtant dû faire. Il résulte également du dossier, singulièrement de l’anamnèse établie par les Drs I.________ et D.________ (cf. rapport médical de ces médecins du 31 octobre 2023), que le recourant, depuis l’adolescence, a été incapable de s’intégrer à la société et de maintenir des relations sociales. Il ressort en outre du rapport médical du SMR du 17 février 2023</w:t>
      </w:r>
    </w:p>
    <w:p>
      <w:r>
        <w:t>- 29 - que le recourant a une faible estime de lui-même, s’étant notamment vu attribué le qualificatif de « débile » par son père. Or le SMR n’a pas pris ces éléments en considération dans son analyse, étant rappelé que la jurisprudence fédérale exige de procéder à un examen de la personnalité de l’assuré avec des exigences accrues en matière de motivation. On relèvera encore que les médecins-conseils de l’Office AI n’ont pas expliqué en quoi un travail dans un magasin B.________, activité adaptée selon eux à l’état de santé du recourant mais non selon les médecins traitants de celui-ci (cf. rapports médicaux du Dr N.________ et de la Dre M.________ des 11 et 30 août 2022), était compatible avec l’exigence qu’il soit clairement encadré dans son activité professionnelle. Or, cette condition relativise pourtant l’appréciation du SMR de la capacité de travail du recourant et amène la question de savoir si celui-ci est effectivement apte à travailler dans une activité adaptée dans l’économie ordinaire, dans laquelle, on le rappelle, il n’a pas réussi à s’insérer avec succès. De surcroît, le travail de magasinier et vendeur auprès d’un magasin B.________ a été considéré comme inadapté par le Dr N.________ et la Dre M.________, cet emploi soulevant en outre la question de la possibilité de limiter les relations interpersonnelles puisqu’il semble impliquer également de tenir la caisse (cf. rapports médicaux susmentionnés). Les limitations fonctionnelles et la question de savoir quelle(s) activité(s) pourrai(en)t être adaptée(s) auraient dû faire l’objet d’un examen plus approfondi et rigoureux. bb) Le SMR n’a pas non plus correctement procédé à l’examen des indicateurs sous l’angle de la cohérence. Les médecins de ce service n’ont pas déterminé si les atteintes à la santé du recourant se manifestaient de la même manière dans son activité professionnelle et dans les autres domaines de sa vie. Ou, lorsqu’ils l’ont fait, relevant par exemple un bon suivi administratif mais des difficultés de compliance au suivi thérapeutique et médicamenteux, ils n’ont pas cherché à comprendre cette différence, ni exposé de manière dûment motivée quelles conclusions ils pouvaient en tirer. Cela est</w:t>
      </w:r>
    </w:p>
    <w:p>
      <w:r>
        <w:t>- 30 - d’autant moins admissible qu’ils ont utilisé le fait que le recourant avait décidé de ne plus se soumettre à la médication et au suivi prescrits comme argument pour retenir que l’état de santé de celui-ci s’était amélioré. Par ailleurs, le SMR a considéré que le manque d’attention et de concentration justifiait la mise en place d’un encadrement clair en faveur du recourant dans son environnement professionnel, alors que dans le domaine de la santé, lorsque ce service a constaté un manque de compliance aux traitements, cela était signe d’une amélioration de son état de santé, sans que ne se pose la question d’un possible lien avec ses difficultés d’attention et de concentration. Cette incohérence sème également le doute sur la valeur probante des conclusions du SMR. En lien avec le parcours professionnel du recourant, le SMR a encore relevé que les nouveaux éléments portés à sa connaissance n’avaient pas empêché celui-ci de travailler, notamment auprès d’un magasin B.________ et d’un restaurant [...]. Or le recourant a enchaîné différents emplois sans pouvoir en conserver un seul à long terme, les pièces au dossier ne renseignant pas plus précisément sur les raisons de ce parcours chaotique, jalonné de plusieurs activités de plus ou moins courte durée. Le SMR ne pouvait dès lors pas se fonder sur le parcours professionnel du recourant tel qu’il ressort du dossier pour affirmer qu’il était capable de travailler malgré ses affections psychiques. Ce point devra par conséquent être éclairci par des mesures d’instruction complémentaires, afin de déterminer si et à quelles conditions le recourant a pu travailler. c) Il résulte des considérants ci-dessus que les conclusions du SMR ne sauraient être suivies, faute de valeur probante. Ce service, après avoir négligé d’établir un diagnostic dans les règles de l’art, s’est fondé sur l’amélioration de l’état psychique constatée par les médecins traitants du recourant au mois d’août 2022, très peu étayée (cf. rapport des médecins de la J.________ des 11 et 30 août 2022), pour admettre que le recourant avait recouvré sa capacité de travail, sans avoir analysé et</w:t>
      </w:r>
    </w:p>
    <w:p>
      <w:r>
        <w:t>- 31 - exposé, au moyen des indicateurs résultant de la jurisprudence fédérale, en quoi les atteintes étaient invalidantes jusqu’à cette date, puis ne l’étaient plus par la suite. Leur appréciation est incomplète, insuffisamment motivée et contient des contradictions. Il convient par conséquent de renvoyer la cause à l’autorité intimée, dès lors que c’est à elle qu’il incombe en premier lieu d’instruire, conformément au principe inquisitoire qui régit la procédure dans le domaine des assurances sociales (art. 43 al. 1 LPGA), pour instruction complémentaire et nouvelle décision. Le complément d’instruction devra notamment comprendre une expertise psychiatrique, étendue à tout autre domaine médical nécessaire, ainsi que toutes autres mesures permettant d’établir l’anamnèse personnelle et professionnelle complète du recourant, notamment par l’audition de la sœur de celui-ci et/ou tout autre examen supplémentaire jugé utile pour préciser l’exigibilité médico-théorique.</w:t>
      </w:r>
    </w:p>
    <w:p>
      <w:r>
        <w:rPr>
          <w:b/>
        </w:rPr>
        <w:t>E. 11</w:t>
      </w:r>
    </w:p>
    <w:p>
      <w:r>
        <w:t>TFJDA [tarif du 28 avril 2015 des frais judiciaires et des dépens en matière administrative ; BLV 173.36.5.1]).</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