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ZD23.050065 vom 29. Juli 2024</w:t>
      </w:r>
    </w:p>
    <w:p>
      <w:r>
        <w:t>VD Tribunal cantonal, 2024-07-29, FR</w:t>
      </w:r>
    </w:p>
    <w:p>
      <w:r>
        <w:rPr>
          <w:b/>
        </w:rPr>
        <w:t xml:space="preserve">Quelle: </w:t>
      </w:r>
      <w:r>
        <w:t>https://mcp.opencaselaw.ch/entscheid/vd_gerichte_ZD23.050065</w:t>
      </w:r>
    </w:p>
    <w:p>
      <w:r>
        <w:t>FR: VD_GERICHTE ZD23.050065 du 29 juillet 2024</w:t>
      </w:r>
    </w:p>
    <w:p>
      <w:r>
        <w:t>IT: VD_GERICHTE ZD23.050065 del 29 luglio 2024</w:t>
      </w:r>
    </w:p>
    <w:p>
      <w:pPr>
        <w:pStyle w:val="Heading2"/>
      </w:pPr>
      <w:r>
        <w:t>Erwägungen</w:t>
      </w:r>
    </w:p>
    <w:p>
      <w:r>
        <w:rPr>
          <w:b/>
        </w:rPr>
        <w:t>E. 4</w:t>
      </w:r>
    </w:p>
    <w:p>
      <w:r>
        <w:t>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w:t>
      </w:r>
    </w:p>
    <w:p>
      <w:r>
        <w:t>- 13 - atteinte à sa santé physique, mentale ou psychique. En cas d’incapacité de travail de longue durée, l’activité qui peut être exigée de l’assuré peut aussi relever d’une autre profession ou d’un autre domaine d’activité. b) aa) Pour évaluer le taux d’invalidité, le revenu que l’assuré aurait pu obtenir s’il n’était pas atteint dans sa santé (revenu sans invalidité) est comparé avec celui qu’il pourrait obtenir en exerçant l’activité qui peut encore raisonnablement être exigée de lui après les traitements et les mesures de réadaptation, sur un marché du travail équilibré (revenu avec invalidité). C’est la méthode ordinaire de comparaison des revenus (art. 16 LPGA et 28a al. 1 LAI [dans sa teneur en vigueur au 31 décembre 2021]). bb) L’invalidité des assurés n’exerçant pas d’activité lucrative et dont on ne peut raisonnablement exiger qu’ils en entreprennent une est évaluée en fonction de leur incapacité à accomplir leurs travaux habituels (méthode « spécifique » d’évaluation de l’invalidité ; art. 8 al. 3 LPGA et 28a al. 2 LAI [dans sa teneur en vigueur au 31 décembre 2021]). Par travaux habituels, il faut en principe entendre l’activité usuelle dans le ménage, ainsi que les soins et l’assistance aux proches (art. 27 al. 1 RAI [règlement du 17 janvier 1961 sur l’assurance-invalidité ; RS 831.201] ; cf. MARGIT MOSER-SZELESS, in DUPONT/MOSER-SZELESS [édit.], Loi sur la partie générale des assurances sociales, Commentaire romand, Bâle 2018, n. 52 ad art. 16 LPGA). cc) Pour les personnes qui exercent une activité lucrative à temps partiel ou travaillent sans être rémunérées dans l’entreprise de leur conjoint, d’une part, et qui accomplissent par ailleurs des travaux habituels aux sens des art. 8 al. 3 LPGA et 28a al. 2 LAI (dans sa teneur en vigueur au 31 décembre 2021), d’autre part, il convient d’abord de déterminer quelle part de son temps, exprimée en pourcentage, la personne assurée aurait consacrée à l’exercice de son activité lucrative ou à l’entreprise de son conjoint, sans atteinte à la santé, et quelle part de son temps elle aurait consacrée à ses travaux habituels. Le taux d’invalidité en lien avec l’exercice de l’activité lucrative ou de l’activité</w:t>
      </w:r>
    </w:p>
    <w:p>
      <w:r>
        <w:t>- 14 - dans l’entreprise du conjoint est établi conformément aux art. 16 LPGA et 28a al. 1 LAI (dans sa teneur en vigueur au 31 décembre 2021 ; comparaison des revenus), étant toutefois précisé que le revenu qui aurait pu être obtenu de cette activité à temps partiel est extrapolé pour la même activité exercée à plein temps. Le taux d’invalidité pour la part de son temps consacrée par la personne assurée à ses travaux habituels est établi conformément aux art. 8 al. 3 LPGA et 28a al. 2 LAI (dans sa teneur en vigueur au 31 décembre 2021 ; méthode spécifique). Les taux d’invalidité ainsi calculés sont ensuite pondérés en proportion de la part du temps consacrée à chacun des deux domaines d’activité, avant d’être additionnés pour fixer le taux d’invalidité globale. C’est la méthode mixte d’évaluation de l’invalidité (art. 28a al. 3 LAI et 27bis al. 2 à 4 RAI [dans leur teneur en vigueur au 31 décembre 2021]). dd) En dépit des termes utilisés aux art. 28a al. 2 s. LAI (dans sa teneur en vigueur au 31 décembre 2021) et 8 al. 3 LPGA, le choix de l’une ou l’autre méthode d’évaluation de l’invalidité ne dépend pas du point de savoir si la personne assurée exerçait ou non une activité lucrative avant l’atteinte à la santé ni si l’exercice d’une activité lucrative serait raisonnablement exigible de sa part. Il s’agit plutôt de déterminer si cette personne exercerait une telle activité, et à quel taux, dans des circonstances semblables, mais en l’absence d’atteinte à la santé (ATF 144 I 28 consid. 2.3 ; 133 V 504 consid. 3.3 ; 125 V 146 consid. 2c). c) Conformément à l’art. 28 al. 2 LAI (dans sa teneur en vigueur au 31 décembre 2021), un taux d’invalidité de 40 % donne droit à un quart de rente, un taux d’invalidité de 50 % au moins donne droit à une demi-rente, un taux d’invalidité de 60 % au moins donne droit à trois- quarts de rente et un taux d’invalidité de 70 % au moins donne droit à une rente entière. d) Pour fixer le degré d’invalidité, l’administration – en cas de recours, le juge – se fonde sur des documents médicaux, ainsi que, le cas échéant, des documents émanant d’autres spécialistes pour prendre position. La tâche du médecin consiste à évaluer l’état de santé de la</w:t>
      </w:r>
    </w:p>
    <w:p>
      <w:r>
        <w:t>- 15 -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e) Il découle de l’art. 61 let. c LPGA que le juge apprécie librement les preuves médicales, en procédant à une appréciation complète et rigoureuse, sans être lié par des règles formelles.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f) Les rapports d’examen réalisés par un SMR en vertu de l'art. 49 al. 2 RAI peuvent revêtir la même valeur probatoire que des expertises, dans la mesure où ils satisfont aux exigences requises par la jurisprudence en matière d’expertise médicale rappelées ci-dessus, bien qu’ils ne soient pas des expertises au sens de l'art. 44 LPGA et ne soient pas soumis aux mêmes exigences formelles (ATF 135 V 254 consid. 3.4 ; TF 9C_745/2010 du 30 mars 2011 consid. 3.3, 9C_600/2010 du 21 janvier 2011 consid. 2 et</w:t>
      </w:r>
    </w:p>
    <w:p>
      <w:r>
        <w:t>- 16 - 9C_204/2009 du 6 juillet 2009 consid. 3.3.2 et les références citées, passage non publié in ATF 135 V 254). Il n'existe en effet pas, dans la procédure d'octroi ou de refus de prestations d'assurances sociales, de droit formel à une expertise menée par un médecin externe à l'assurance (ATF 135 V 465 consid. 4.3). Cela étant, il convient d'ordonner une expertise si des doutes, mêmes faibles, subsistent quant à la fiabilité et à la pertinence des constatations médicales effectuées par le service médical interne de l'assurance (ATF 135 V 465 consid. 4.6). g) Les affections psychiques, les affections psychosomatiques et les syndromes de dépendance à des substances psychotropes doivent en principe faire l’objet d’une procédure probatoire structurée (ATF 145 V 215 ; 143 V 418 consid. 6 et 7 ; 141 V 281 et les références citées).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w:t>
      </w:r>
    </w:p>
    <w:p>
      <w:r>
        <w:rPr>
          <w:b/>
        </w:rPr>
        <w:t>E. 5</w:t>
      </w:r>
    </w:p>
    <w:p>
      <w:r>
        <w:t>Par un premier moyen de nature formelle, la recourante se plaint d’une violation de son droit d’être entendue, au motif que l’intimé ne lui a pas accordé de seconde prolongation de délai pour compléter ses objections au projet de décision. a) Aux termes de l’art. 49 al. 3 LPGA, l’assureur doit motiver ses décisions si elles ne font pas entièrement droit aux demandes des parties. Cette obligation, qui découle également du droit d’être entendu, garanti par l’art. 29 al. 2 Cst. (Constitution fédérale de la Confédération suisse du 18 avril 1999 ; RS 101), a pour but que la personne destinataire de la décision puisse la comprendre, la contester utilement s’il y a lieu et que l’instance de recours soit en mesure, si elle est saisie, d’exercer pleinement son contrôle. Pour répondre à ces exigences, l’autorité doit mentionner, au moins brièvement, les motifs qui l’ont guidée et sur lesquels elle a fondé sa décision, de sorte que la personne concernée</w:t>
      </w:r>
    </w:p>
    <w:p>
      <w:r>
        <w:t>- 17 - puisse se rendre compte de la portée de celle-ci et l’attaquer en connaissance de cause. Elle n’a toutefois pas l’obligation d’exposer et de discuter tous les faits, moyens de preuve et arguments invoqués par les parties, mais peut au contraire se limiter à l’examen des questions décisives pour l’issue de la procédure (ATF 146 II 335 consid. 5.1 ; 141 V 557 consid. 3.2.1 et les arrêts cités).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141 V 557 consid. 3.2). En revanche, une autorité se rend coupable d’un déni de justice formel prohibé par l’art. 29 al. 2 Cst. si elle omet de se prononcer sur des allégués et arguments qui présentent une certaine pertinence ou de prendre en considération des allégués et arguments importants pour la décision à rendre (ATF 142 III 360 consid. 4.1.1 ; 141 V 557 consid. 3.2.1 ; 133 III 235 consid. 5.2). Le droit d’être entendu est une garantie de nature formelle, dont la violation entraîne en principe l’annulation de la décision attaquée, indépendamment des chances de succès du recours sur le fond (ATF 144 I 11 consid. 5.3 ; 142 II 218 consid. 2.8.1 ; 137 I 195 consid. 2.2). Selon la jurisprudence, sa violation peut cependant être réparée lorsque la partie lésée a la possibilité de s’exprimer devant une autorité de recours jouissant d’un plein pouvoir d’examen (ATF 145 I 167 consid. 4.4 ; 142 II 218 consid. 2.8.1 ; 137 I 195 consid. 2.3.2). Toutefois, une telle réparation doit rester l’exception et n’est admissible, en principe, que dans l’hypothèse d’une atteinte qui n’est pas particulièrement grave aux droits procéduraux de la partie lésée ;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142 II 218 consid. 2.8.1 ; 137 I 195 consid. 2.3.2 et les références citées).</w:t>
      </w:r>
    </w:p>
    <w:p>
      <w:r>
        <w:t>- 18 - b) En l’occurrence, aucune violation du droit d’être entendue de la recourante ne peut être imputée à l’intimé au motif qu’un délai supplémentaire ne lui aurait pas été accordé pour compléter ses objections au projet de décision du 6 juin 2023. Par courrier de son avocat du 19 juin 2023, l’intéressée a déclaré s’opposer au projet de décision en faisant valoir qu’elle était dans l’incapacité totale d’exercer toute activité lucrative et gravement handicapée dans toutes les tâches de la vie, sollicitant d’emblée de lui accorder un délai au 31 août 2023 afin de compléter ses objections et produire des rapports médicaux à l’appui de sa démarche. Le 20 juin 2023, l’intimé lui a fait parvenir une copie de son dossier et a accepté de prolonger au 31 août 2023 le délai pour faire valoir ses éventuelles objections complémentaires, en précisant que passé ce délai, et sans nouvelles de sa part, il notifierait la décision sur la base des éléments en sa possession. Le 31 août 2023, la recourante a sollicité une nouvelle prolongation d’un mois pour le dépôt de ses déterminations complémentaires et transmettre les documents étayant ses arguments. Le</w:t>
      </w:r>
    </w:p>
    <w:p>
      <w:r>
        <w:rPr>
          <w:b/>
        </w:rPr>
        <w:t>E. 7</w:t>
      </w:r>
    </w:p>
    <w:p>
      <w:r>
        <w:t>a) Pour le surplus, il n’y a pas lieu de s’écarter du statut d’active à 80 % et de ménagère à 20 % retenu par l’intimé, cette appréciation n’étant à juste titre pas remise en cause par la recourante. Ce statut correspond à la situation professionnelle réelle qui prévalait jusqu’au début de l’incapacité de travail en avril 2020. Du reste, l’intéressée a indiqué qu’en bonne santé, elle travaillerait à 80 % comme auxiliaire de santé, par intérêt personnel (cf. formulaire de détermination du statut du 10 décembre 2020), si bien qu’il y a lieu de confirmer le statut mixte tel que fixé par l’intimé, respectivement l'application de la méthode mixte d'évaluation de l'invalidité dans le cas particulier. b) Pour la part que la recourante consacre à l’accomplissement de ses travaux habituels, on relèvera avec l’intimé que même dans l’éventualité non réalisée d’un empêchement total dans l’accomplissement des tâches ménagères, le degré d’invalidité global resterait en-dessous du seuil de 40 % ouvrant le droit à la rente. On ne peut dès lors faire grief à l’intimé de n’avoir pas mis en œuvre une enquête ménagère. c) En ce qui concerne la part que la recourante consacre à l’exercice d’une activité lucrative, le degré d’invalidité s’élève, après comparaison du revenu sans invalidité (55'003 fr.) avec le revenu d’invalide (50'716 fr. 49), à 7,79 % ([{55'003 fr. – 50'716 fr. 49} / 55'003 fr.] x 100). En l’absence de griefs soulevés sur l'évaluation de la perte de gain, il n’y a pas lieu de revenir plus avant sur la comparaison des revenus</w:t>
      </w:r>
    </w:p>
    <w:p>
      <w:r>
        <w:t>- 32 - à laquelle a procédé l'intimé ; vérifié d'office, le calcul ainsi opéré peut être confirmé. d) Le taux d'invalidité global doit ainsi être fixé à 6,24 % ([7,79 x 0,8] + [0 x 0,2]), arrondi à 6 % (cf. ATF 130 V 121), ce qui est insuffisant pour ouvrir le droit à une rente de l’assurance-invalidité (cf. art. 28 al. 2 LAI).</w:t>
      </w:r>
    </w:p>
    <w:p>
      <w:r>
        <w:rPr>
          <w:b/>
        </w:rPr>
        <w:t>E. 8</w:t>
      </w:r>
    </w:p>
    <w:p>
      <w:r>
        <w:t>a)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alors superflu d’administrer d’autres preuves (appréciation anticipée des preuves ; ATF 145 I 167 consid. 4.1 ; 140 I 285 consid. 6.3.1 ; 130 II 425 consid. 2.1). b) En l’espèce, le dossier est complet et permet à la Cour de céans de statuer, de sorte qu’il n’y a pas lieu de donner suite à la réquisition de la recourante tendant à la mise en œuvre d’une expertise judiciaire psychiatrique pour déterminer ses atteintes à la santé psychique. En effet, la réalisation d’une telle expertise ne saurait apporter un quelconque correctif au rapport d’examen bidisciplinaire du SMR, respectivement son volet psychiatrique, qui est probant (cf. consid. 6 supra).</w:t>
      </w:r>
    </w:p>
    <w:p>
      <w:r>
        <w:rPr>
          <w:b/>
        </w:rPr>
        <w:t>E. 8.1</w:t>
      </w:r>
    </w:p>
    <w:p>
      <w:r>
        <w:t>% [TVA 2024]), débours et TVA compris, pour la période du 17 novembre 2023 au 27 mai 2024. e) La recourante est rendue attentive au fait qu’elle devra rembourser les frais et l’indemnité provisoirement pris en charge par l’Etat dès qu’elle sera en mesure de le faire (art. 122 al. 1 et 123 CPC [code de procédure civile du 19 décembre 2008 ; RS 272], applicables par renvoi de l’art. 18 al. 5 LPA-VD). Les modalités de ce remboursement sont fixées par la Direction du recouvrement de la Direction générale des affaires institutionnelles et des communes (auparavant : le Service juridique et législatif ; art. 5 RAJ).</w:t>
      </w:r>
    </w:p>
    <w:p>
      <w:r>
        <w:rPr>
          <w:b/>
        </w:rPr>
        <w:t>E. 9</w:t>
      </w:r>
    </w:p>
    <w:p>
      <w:r>
        <w:t>a) Sur le vu de ce qui précède, le recours, mal fondé, doit être rejeté et la décision attaquée confirmée. b) La procédure de recours en matière de contestations portant sur des prestations de l’assurance-invalidité est soumise à des frais de justice (art. 69 al. 1bis LAI). Il convient de les fixer à 600 fr. et de les mettre à la charge de la recourante, vu le sort de ses conclusions.</w:t>
      </w:r>
    </w:p>
    <w:p>
      <w:r>
        <w:t>- 33 - c) Il n’y a pas lieu d’allouer de dépens à la recourante, qui n’obtient pas gain de cause (art. 61 let. g LPGA). d) La recourante est au bénéfice de l’assistance judiciaire. Les frais judiciaires mis à sa charge ci-avant sont donc provisoirement supportés par l’Etat et Me Jean-Michel Duc peut prétendre une équitable indemnité pour son mandat d’office. Après examen de la liste des opérations déposée le 27 mai 2024, ces opérations, vérifiées d’office, sont justifiées. L’indemnité de Me Duc est ainsi arrêtée à 1'577 fr. 40 ([8 heures et 50 minutes x 110 fr. ; cf. art. 2 al. 1 let. b du règlement cantonal du 7 décembre 2010 sur l’assistance judiciaire en matière civile ; RAJ ; BLV 211.02.3] + 5 % [débours ; cf. art. 3bis al. 1 RAJ] + 7,7 % [TVA 2023] + [3 heures et 50 minutes x 110 fr.] + 5 % [débours ; cf. art. 3bis al. 1 RAJ]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