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ZD23.046770 vom 24. Oktober 2024</w:t>
      </w:r>
    </w:p>
    <w:p>
      <w:r>
        <w:t>VD Tribunal cantonal, 2024-10-24, FR</w:t>
      </w:r>
    </w:p>
    <w:p>
      <w:r>
        <w:rPr>
          <w:b/>
        </w:rPr>
        <w:t xml:space="preserve">Quelle: </w:t>
      </w:r>
      <w:r>
        <w:t>https://mcp.opencaselaw.ch/entscheid/vd_gerichte_ZD23.046770</w:t>
      </w:r>
    </w:p>
    <w:p>
      <w:r>
        <w:t>FR: VD_GERICHTE ZD23.046770 du 24 octobre 2024</w:t>
      </w:r>
    </w:p>
    <w:p>
      <w:r>
        <w:t>IT: VD_GERICHTE ZD23.046770 del 24 ottobre 2024</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w:t>
      </w:r>
    </w:p>
    <w:p>
      <w:r>
        <w:t>- 10 - c)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(Michel Valterio, Commentaire de la loi sur l’assurance-invalidité, Genève/Zurich/Bâle 2018, n° 2 ad art. 28a LAI).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16 LPGA et 28a al. 1 LAI [dans sa teneur en vigueur au 31 décembre 2021]).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8 al. 3 LPGA et 28a al. 2 LAI [dans sa teneur en vigueur au 31 décembre 2021]). Par travaux habituels, il faut entendre l’activité usuelle dans le ménage, ainsi que les soins et l’assistance apportés aux proches (art. 27 al. 1 RAI [dans sa teneur en vigueur au 31 décembre 2021]). cc) Chez les assurés qui n'exerçaient que partiellement une activité lucrative, l'invalidité est, pour cette part, évaluée selon la méthode générale de comparaison des revenus. S'ils se consacraient en outre à leurs travaux habituels au sens des art. 8 al. 3 LPGA et 28a al. 2 LAI (dans sa teneur en vigueur au 31 décembre 2021), l'invalidité est fixée, pour</w:t>
      </w:r>
    </w:p>
    <w:p>
      <w:r>
        <w:t>- 11 -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et 27bis al. 2 à 4 RAI [dans leur teneur en vigueur au 31 décembre 2021]). A cet égard, il convient de distinguer la situation qui prévalait jusqu’au 31 décembre 2017 de celle qui a cours depuis le 1er janvier 2018. La décision litigieuse, rendue le 25 septembre 2023, est en effet postérieure à l’entrée en vigueur le 1er janvier 2018 de la modification du 1er décembre 2017 du RAI. En vertu du principe général de droit transitoire selon lequel – même en cas de changement de bases légales – les règles applicables sont celles en vigueur au moment où les faits juridiquement déterminants se sont produits, il y a lieu d’examiner le droit à des prestations au regard de l’ancien droit pour la période jusqu’au 31 décembre 2017 et, après le 1er janvier 2018, en fonction des nouvelles normes de ce règlement. Jusqu’au 31 décembre 2017, le revenu que la personne assurée aurait pu obtenir effectivement dans l’activité qu’elle effectuait à temps partiel avant la survenance de l’atteinte à la santé (revenu sans invalidité) était comparé au revenu qu’elle pouvait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 était comparé au gain hypothétique qu’elle pouvait obtenir sur un marché équilibré du travail en mettant pleinement à profit sa capacité résiduelle dans un emploi adapté à son handicap. Lorsque la personne assurée continuait à bénéficier d’une capacité résiduelle de travail dans l’activité lucrative qu’elle exerçait à temps partiel avant la survenance de l’atteinte à la santé, elle ne subissait</w:t>
      </w:r>
    </w:p>
    <w:p>
      <w:r>
        <w:t>- 12 - pas d’incapacité de gain tant que sa capacité résiduelle de travail était plus étendue ou égale au taux d’activité qu’elle exerçait sans atteinte à la santé (ATF 137 V 334 consid. 4.1 et les références). Depuis le 1er janvier 2018, le revenu que la personne assurée aurait pu obtenir dans l’activité qu’elle effectuait à temps partiel avant la survenance de l’atteinte à la santé (revenu sans invalidité) n’est plus déterminé sur la base du revenu effectivement réalisé, mais est désormais extrapolé pour la même activité lucrative exercée à plein temps (art. 27bis al. 3 let. a RAI [dans sa teneur en vigueur au 31 décembre 2021]). d) Pour déterminer la méthode applicable au cas particulier, il faut se demander ce que l'assuré aurait fait si l'atteinte à la santé n'était pas survenue. Lorsqu'il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144 I 28 consid. 2.3 ; 137 V 334 consid. 3.2 et les références ; TF 9C_250/2021 du 24 mars 2022 consid. 2.2).</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w:t>
      </w:r>
    </w:p>
    <w:p>
      <w:r>
        <w:t>- 13 -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Une enquête ménagère effectuée au domicile de la personne assurée (cf. art. 69 al. 2 RAI [dans sa teneur en vigueur au 31 décembre 2021])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w:t>
      </w:r>
    </w:p>
    <w:p>
      <w:r>
        <w:t>- 14 -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w:t>
      </w:r>
    </w:p>
    <w:p>
      <w:r>
        <w:rPr>
          <w:b/>
        </w:rPr>
        <w:t>E. 5</w:t>
      </w:r>
    </w:p>
    <w:p>
      <w:r>
        <w:t>a) En l’espèce, l’intimé a considéré que la recourante, dans l’hypothèse où elle n’était pas atteinte dans sa santé, aurait réduit son taux d’activité de 100 % à 80 % dès la naissance de son deuxième enfant, le 28 février 2017, afin de consacrer une part de 20 % de son temps à l’accomplissement de ses travaux habituels. Puis, dans sa réponse du 4 décembre 2023, il a finalement proposé que soit retenue pour ce changement de statut la date de la modification du taux d’activité telle que prévue par l’avenant au contrat de travail du 31 mai 2017 conclu entre la recourante et le Service C.________, à savoir au début du mois de septembre 2017. La recourante a, elle, soutenu qu’elle n'aurait jamais cessé d’exercer une activité à temps plein si elle était restée en bonne santé. b) Cela étant, on ne saurait suivre la position de la recourante. Il ressort en effet du dossier que cette dernière souhaitait volontairement réduire en septembre 2017 son taux d’activité, passant de 100 % à 80 %, et que cette modification n’était pas la conséquence de son état de santé. Le rapport initial établi le 24 novembre 2016 par l’intimé précisait ainsi que la recourante était en discussion avec son employeur de l’époque en vue de diminuer son taux d’activité après la naissance de son deuxième enfant. L’avenant au contrat de travail susmentionné stipulait en outre une diminution du taux d’activité de 100 % à 80 % à partir du 4 septembre 2017. Une note d’entretien du 7 juillet 2017 entre l’Office AI et ledit employeur indiquait de surcroît que la recourante avait demandé à ce dernier de réduire son taux d’activité à 50 % à l’issue de son congé de maternité. Le rapport d’expertise du 7 janvier 2019 spécifiait au surplus</w:t>
      </w:r>
    </w:p>
    <w:p>
      <w:r>
        <w:t>- 15 - qu’elle comptait reprendre son travail en septembre 2017 à un taux de 80 %, mais qu’elle avait dû se restreindre à un retour à mi-temps en raison de son état de santé. Le Dr S.________, quant à lui, exposait, dans son rapport d’expertise du 26 février 2021, qu’« [a]vec l'arrivée de son deuxième enfant il exist[ait] clairement la notion d'un plus grand engagement maternel » et que « Mme K.________ avait de plein gré déjà auparavant demandé un contrat réduit à 80%, ce qui sembl[ait] correspondre à ce changement de rôle ». Dès lors, sur le vu de ce qui précède, il n’y a pas lieu de remettre en cause le raisonnement qui a conduit l’intimé à conclure, dans le cas particulier, à l'application de la méthode mixte d'évaluation de l'invalidité à partir du mois de septembre 2017, en retenant que la recourante, si elle avait été en bonne santé, aurait consacré 80 % de son temps à l’exercice d’une activité lucrative et le reste à l’accomplissement de ses travaux habituels.</w:t>
      </w:r>
    </w:p>
    <w:p>
      <w:r>
        <w:rPr>
          <w:b/>
        </w:rPr>
        <w:t>E. 6</w:t>
      </w:r>
    </w:p>
    <w:p>
      <w:r>
        <w:t>Il sied au demeurant de constater que l’intimé a évalué correctement la capacité de travail de la recourante et les empêchements dans l’accomplissement de ses travaux habituels. Ainsi, s’agissant de la part consacrée à l’exercice d’une activité lucrative, il s’est principalement appuyé sur les conclusions du Dr S.________ et de la Dre I.________, lesquelles n’ont pas été contestées par la recourante. Il a dans ce cadre retenu une capacité de travail réduite de moitié entre août 2015 et octobre 2020, puis nulle dès novembre 2020 dans toute activité et enfin de 30 % dans une activité adaptée, soit une activité hors milieu médical, sans responsabilité et n’exigeant ni charges ni présence sur une journée entière, à partir de mai 2022. En ce qui concerne la part consacrée aux travaux habituels, l’office intimé a repris les conclusions de l’enquête économique sur le ménage du 7 février 2023 (en tant qu’elle porte sur la période postérieure au 1er novembre 2020) et de la grille d’évaluation modifiée de mai 2024 (en tant qu’elle porte sur la période entre 2017 et le 31 octobre 2020), estimant un empêchement ménager respectivement de 47,23 % (soit 9,45 % après pondération) et de 54,02 % (soit 10,8 % après pondération). Le contenu de ces rapports d’enquête n’a pas non plus fait l’objet de griefs spécifiques de la part de la recourante, de sorte qu’il n’y pas lieu de s’en écarter.</w:t>
      </w:r>
    </w:p>
    <w:p>
      <w:r>
        <w:t>- 16 -</w:t>
      </w:r>
    </w:p>
    <w:p>
      <w:r>
        <w:rPr>
          <w:b/>
        </w:rPr>
        <w:t>E. 7</w:t>
      </w:r>
    </w:p>
    <w:p>
      <w:r>
        <w:t>a) Dans la mesure où, d’une part, la recourante a présenté une capacité de travail fluctuante dans son activité habituelle et dans une activité adaptée et que, d’autre part, elle est partiellement empêchée dans l’accomplissement de ses travaux habituels, il s’agit encore d’évaluer son degré d’invalidité – lequel a varié selon les périodes –, dans le but de déterminer l’étendue de son droit à la rente. b) Pour la période courant entre le 1er mars (soit six mois après le dépôt de la demande du 7 septembre 2016 [cf. art. 29 al. 1 et 3 LAI]) et le 31 août 2017, durant laquelle la recourante était pleinement active professionnellement, le degré d’invalidité de cette dernière se confondait avec sa capacité de travail dans son activité habituelle (cf. 9C_562/2022 du 12 septembre 2023 consid. 6), à savoir 50 %. Il s’ensuit que le droit à une demi-rente lui est ouvert pour cette période. c) Pour la période du 1er septembre au 31 décembre 2017, au cours de laquelle la recourante disposait toujours d’une capacité de travail de 50 % dans son activité habituelle, mais comptait diminuer son taux d’activité à 80 %, le degré d’invalidité dans la part consacrée à l’exercice d’une activité lucrative s’élevait – compte tenu du mode de calcul de la méthode mixte applicable avant 2018 (cf. supra consid. 3c/cc) – à 30 % ([80 – 50] x 100 / 80 = 37,5 ; 37,5 x 80 % = 30 %). Le taux d’empêchement affiché dans la part consacrée à l’accomplissement des travaux habituels se montait, quant à lui, à 10,8 % (54,02 x 20 %), étant rappelé que l’aide de son fils aîné n’était alors pas encore exigible. Partant, le taux d’invalidité global – arrondi – doit être fixé à 41 % (30 % + 10,8 %), ce qui ouvre à la recourante le droit à un quart de rente. d) Pour la période entre le 1er janvier 2018 et le 31 octobre 2020, pendant laquelle la recourante présentait encore une incapacité de travail de 50 % et un taux d’empêchement de 10,8 %, le degré d’invalidité dans la part consacrée à l’exercice d’une activité lucrative s’élevait – au regard du mode de calcul de la méthode mixte applicable dès le 1er janvier 2018 (cf. supra consid. 3c/cc) – à 40 % (100 – 50 = 50 ; 50 x 20 % =</w:t>
      </w:r>
    </w:p>
    <w:p>
      <w:r>
        <w:t>- 17 - 40 %). Le taux d’invalidité global – arrondi – doit en conséquence être arrêté à 51 % (40 % + 10,8 %), ce qui ouvre à la recourante le droit à une demi-rente jusqu’au 31 janvier 2021, soit trois mois après la péjoration de son état de santé (cf. art. 88a al. 2 RAI). e) Pour la période à partir du 1er février 2021, la capacité de travail de la recourante était nulle dans toute activité, avant d’augmenter, en mai 2021, à 30 % dans une activité adaptée à ses limitations psychiques. Son degré d’invalidité s’élevait donc à 80 % (100 x 80 %). Le taux d’empêchement dans l’accomplissement des travaux habituels se montait, pour sa part, à 9,45 % (47,23 x 20 %), l’aide de son fils aîné étant exigible depuis le mois de novembre 2020. Le taux d’invalidité global – arrondi – doit donc être établi à 89 % (80 % + 9,45 %), ce qui ouvre à la recourante le droit à une rente entière, étant noté que l’amélioration de sa capacité de travail intervenue en mai 2021 n’a exercé aucune influence sur ce droit.</w:t>
      </w:r>
    </w:p>
    <w:p>
      <w:r>
        <w:rPr>
          <w:b/>
        </w:rPr>
        <w:t>E. 8</w:t>
      </w:r>
    </w:p>
    <w:p>
      <w:r>
        <w:t>a) En définitive, le recours doit être partiellement admis et la décision rendue le 25 septembre 2023 par l’intimé réformée en ce sens que la recourante a droit à une demi-rente du 1er mars au 31 août 2017, à un quart de rente du 1er septembre au 31 décembre 2017, à une demi- rente du 1er janvier 2018 au 31 janvier 2021 et à une rente entière à compter du 1er février 2021.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pour l’essentiel gain de cause et a droit à une indemnité de dépens à titre de participation aux honoraires de son conseil (art. 61 let. g LPGA). Après examen de la liste des opérations déposée le 29 août 2024 par Me Yann Oppliger, compte tenu de l’importance et de la complexité du litige, il convient d’arrêter l’indemnité à 2'500 fr., débours et TVA compris, et de la mettre</w:t>
      </w:r>
    </w:p>
    <w:p>
      <w:r>
        <w:t>- 18 - intégralement à la charge de l’intimé (art. 10 et 11 TFJDA [tarif du 28 avril 2015 des frais judiciaires et des dépens en matière administrative ; BLV 173.36.5.1]). Cette indemnité couvre le montant qui serait alloué, au titre de l’assistance judiciaire, au mandataire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