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ZD23.045500 vom 22. Oktober 2024</w:t>
      </w:r>
    </w:p>
    <w:p>
      <w:r>
        <w:t>VD Tribunal cantonal, 2024-10-22, FR</w:t>
      </w:r>
    </w:p>
    <w:p>
      <w:r>
        <w:rPr>
          <w:b/>
        </w:rPr>
        <w:t xml:space="preserve">Quelle: </w:t>
      </w:r>
      <w:r>
        <w:t>https://mcp.opencaselaw.ch/entscheid/vd_gerichte_ZD23.045500</w:t>
      </w:r>
    </w:p>
    <w:p>
      <w:r>
        <w:t>FR: VD_GERICHTE ZD23.045500 du 22 octobre 2024</w:t>
      </w:r>
    </w:p>
    <w:p>
      <w:r>
        <w:t>IT: VD_GERICHTE ZD23.045500 del 22 ottobre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w:t>
      </w:r>
    </w:p>
    <w:p>
      <w:r>
        <w:t>- 14 -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statut d’un assuré est déterminé en fonction de la situation professionnelle dans laquelle il se trouverait s’il n’était pas atteint dans sa santé. L’assuré est réputé exercer une activité lucrative au sens de l’art. 28a al. 1 LAI dès lors qu’en bonne santé, il exercerait une activité lucrative à un taux d’occupation de 100 % ou plus. Il est réputé ne pas exercer d’activité lucrative au sens de l’art. 28a al. 2 LAI dès lors qu’en bonne santé, il n’exercerait pas d’activité lucrative. Il est enfin réputé exercer une activité lucrative à temps partiel au sens de l’art. 28a al. 3 LAI dès lors qu’en bonne santé, il exercerait une activité lucrative à un taux d’occupation de moins de 100 % (art. 24septies RAI). aa) L’évaluation du taux d’invalidité des assurés exerçant une activité lucrative est régie par l’art. 16 LPGA. A cette fin, le revenu que l’assuré aurait pu obtenir s’il n’était pas atteint dans sa santé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w:t>
      </w:r>
    </w:p>
    <w:p>
      <w:r>
        <w:t>- 15 - facteurs de correction applicables (méthode ordinaire de comparaison des revenus ; art. 16 LPGA et 28a al. 1 LAI). bb)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(méthode « spécifique » d’évaluation de l’invalidité ; art. 28a al. 2 LAI et art. 8 al. 3 LPGA). Par travaux habituels des assurés travaillant dans le ménage, il faut entendre l’activité usuelle dans le ménage, ainsi que les soins et l’assistance apportés aux proches (art. 27 al. 1 RAI ; cf. Margit Moser-Szeless, in Dupont/Moser-Szeless [édit.], Loi sur la partie générale des assurances sociales, Commentaire romand, Bâle 2018, n° 52 ad art. 16 LPGA). cc) Le taux d’invalidité des personnes qui exercent une activité lucrative à temps partiel est déterminé par l’addition du taux d’invalidité en lien avec l’activité lucrative et du taux d’invalidité en lien avec les travaux habituels (méthode mixte d’évaluation de l’invalidité). Pour ce faire,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l’activité lucrative est ensuite déterminé selon l’art. 16 LPGA, en extrapolant le revenu sans invalidité pour une activité lucrative correspondant à un taux d’occupation de 100 %, en calculant le revenu avec invalidité sur la base d’une activité lucrative correspondant à un taux d’occupation de 100 % et en l’adaptant selon la capacité fonctionnelle déterminante, puis en pondérant la perte de gain exprimée en pourcentage en fonction du taux d’occupation qu’aurait l’assuré s’il n’était pas invalide. Quant au taux d’invalidité en lien avec les travaux habituels, il est calculé en déterminant le pourcentage que représentent les limitations dans les travaux habituels par rapport à la situation dans laquelle l’assuré serait sans invalidité, puis en pondérant le pourcentage ainsi déterminé en fonction de la différence entre le taux</w:t>
      </w:r>
    </w:p>
    <w:p>
      <w:r>
        <w:t>- 16 - d’occupation qu’aurait l’assuré s’il n’était pas invalide et une activité lucrative exercée à plein temps (art. 28a al. 3 LAI et 27bis RAI). dd)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- 17 -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5.1</w:t>
      </w:r>
    </w:p>
    <w:p>
      <w:r>
        <w:t>; 125 V 351 consid. 3a ; TF 8C_510/2020 du 15 avril 2021 consid. 2.4). c)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w:t>
      </w:r>
    </w:p>
    <w:p>
      <w:r>
        <w:rPr>
          <w:b/>
        </w:rPr>
        <w:t>E. 6</w:t>
      </w:r>
    </w:p>
    <w:p>
      <w:r>
        <w:t>L’OAI a refusé de prester au motif que la recourante ne présentait pas d’atteinte invalidante, fondant sa décision sur l’avis SMR du 13 avril 2023. La Dre W.________ a conclu que l’examen de la situation médicale de l’assurée ne permettait pas de retenir des atteintes incapacitantes ni une incapacité de travail et des limitations fonctionnelles durables. Selon elle, la capacité de travail était dès lors entière dans tout type d’activité. a) En l’occurrence, on constatera tout d’abord que le SMR a conclu à un manque d’information convaincante permettant d’admettre des limitations fonctionnelles durables. Or, cet avis ne saurait être suivi dans la mesure où les limitations fonctionnelles de la recourante ont été déterminées déjà au stade de la première demande de détection précoce</w:t>
      </w:r>
    </w:p>
    <w:p>
      <w:r>
        <w:t>- 18 - du 16 décembre 2013 dans laquelle la recourante avait indiqué qu’elle ne pouvait pas porter des charges, ni rester debout longtemps. Ces limitations ont à nouveau été évoquées dans le rapport du 1er novembre 2016, puis confirmées par la Dre N.________ (cf. rapports des 25 décembre 2021 et 24 mai 2022). Ensuite, on ne peut que relever que l’intimé n’a pas instruit le cas à satisfaction. En effet, si l’OAI a commencé par demander un rapport à la Dre N.________, il a ensuite jugé que les deux rapports de cette médecin des 25 décembre 2021 et 24 mai 2022 n’étaient pas assez détaillés pour justifier une incapacité de travail (cf. avis SMR du 5 juillet 2022). Or, force est de constater que le rapport du 25 décembre 2021 est relativement complet dans la mesure où la Dre N.________ a posé les diagnostics de douleurs abdominales-pelviennes côté droit et de hernie discale paramédiane droite, qu’elle a indiqué des limitations fonctionnelles et attesté une capacité de travail de 60 % dans tout type d’activité. Il en va de même du rapport du 24 mai 2022 qui mentionnait la persistance de douleurs lombaires et du bassin côté droit tout en attestant une capacité de travail de 60 % dans toutes les activités et en indiquant des limitations fonctionnelles. Le SMR a toutefois considéré qu’il convenait de refaire une demande de renseignements auprès de la Dre N.________ en lui faisant parvenir une « lettre avec multiples questions » sans toutefois se prononcer sur les rapports d’IRM des 26 mars et 15 juin 2015 transmis par la médecin traitante (cf. avis SMR du 15 août 2022). La Dre N.________ a, en date du 13 février 2023, indiqué qu’il n’y avait pas d’amélioration dans l’état de santé de la recourante, qu’elle suspectait une endométriose et qu’elle avait adressé celle-ci au Dr P.________ en vue de faire des investigations gynécologiques. Malgré cette indication, le SMR n’a réalisé aucune investigation gynécologique alors même que la recourante se plaignait depuis le premier formulaire de détection précoce de douleurs en lien avec une césarienne (cf. formulaire du 16 décembre 2013). On notera ici que le rapport d’IRM pelvienne du 23 janvier 2023 avait été transmis au Dr F.________, qui est gynécologue. A cet égard, on remarquera que la recourante avait joint à son second formulaire de détection précoce du 17 juin 2016 des certificats d’incapacité de travail totale du 6 mars au 5 mai,</w:t>
      </w:r>
    </w:p>
    <w:p>
      <w:r>
        <w:t>- 19 - puis du 6 juin au 6 juillet 2014 du Dr Q.________, également gynécologue. En outre, la question d’une investigation gynécologique avait été évoquée à plusieurs reprises, notamment déjà lors d’un entretien téléphonique entre la Dre N.________ et l’OAI le 21 janvier 2014 tout comme dans le courrier de l’OAI du 22 janvier 2014 mentionnant que des investigations étaient en cours, ainsi que lors des différents entretiens téléphoniques qui ont eu lieu entre la recourante et une collaboratrice de l’OAI (cf. notes d’entretien des 25 février, 4 mars, 15 mars, 25 mars et 17 mai 2022). Enfin, on relèvera que le rapport d’IRM du 23 janvier 2023 mentionnait une lésion compatible avec un nodule d’endométriose, ce qui aurait dû attirer l’attention du SMR sur une éventuelle problématique gynécologique. Ensuite, la recourante a indiqué, dans sa demande de prestations du 10 septembre 2021, souffrir de douleurs aux épaules et aux coudes depuis 2019. Or, force est de constater que ces douleurs n’ont absolument pas été investiguées alors même que la recourante avait indiqué la présence d’arthrose révélée par des examens relativement récents ayant en outre entraîné une infiltration du coude et de l’épaule du côté gauche (cf. rapport initial du 1er décembre 2021), que la Dre N.________ avait posé le diagnostic de hernie discale (cf. rapport du 25 décembre 2021) et que le rapport d’IRM de la colonne lombo-sacrée du 15 juin 2015 des Drs U.________ et B.________ proposait une infiltration facettaire ou périradiculaire. En outre, l’OAI aurait encore dû s’interroger sur le statut de la recourante. En effet, si celle-ci travaillait à 60 % depuis le 1er mai 2018, elle a en revanche toujours soutenu qu’elle aurait pu travailler à plein temps si elle avait été en bonne santé (cf. détermination du statut du 1er novembre 2021, rapport initial du 1er décembre 2021 et rapport IP du 14 juillet 2022). A cet égard, on relèvera ici que la recourante a essayé d’augmenter son taux à 85 % du 1er juin au 31 juillet 2021 et qu’elle a été absente pour maladie du 13 au 30 juin et du 1er au 5 juillet 2021 (cf. questionnaire pour l’employeur du 8 novembre 2021). A tout le moins se posait la question d’une enquête ménagère, notamment en tenant compte du fait que la recourante entretenait son ménage dans une</w:t>
      </w:r>
    </w:p>
    <w:p>
      <w:r>
        <w:t>- 20 - moindre mesure à cause de ses douleurs, avec l’aide de ses enfants mais pas de son mari (cf. rapport initial du 1er décembre 2021). On remarquera que cette question avait d’ailleurs été évoquée dans la note d’entretien téléphonique du 17 mai 2022 et du rapport IP du 14 juillet 2022 sans toutefois que le SMR n’ait abordé cette problématique. Enfin, le SMR aurait également dû s’interroger sur l’état psychique de la recourante, cette question ayant été évoquée à diverses reprises (cf. rapport initial du 1er décembre 2021 et note d’entretien téléphonique du 17 mai 2022). A cet égard, on relèvera qu’il ressort de la note d’entretien téléphonique du 4 mars 2022 que la Dre N.________ devait être contactée pour avoir son avis sur un éventuel suivi psychiatrique, ce qui n’a jamais été fait, pas même dans le questionnaire envoyé le 15 août 2022 par le SMR. b) Plusieurs pièces ont été produites par la recourante dans le cadre de la présente procédure judiciaire. Les rapports médicaux produits devant la Cour de céans se réfèrent tout d’abord à des investigations relatives aux poignet droit, coude, épaule, genou et pied gauches ainsi qu’à une infiltration de l’épaule et du coude gauches qui sont antérieures à la décision du 29 septembre 2023, à savoir les 19 février et 8 mars 2016, 13 juin 2017, 18 septembre, 4 et 16 octobre 2019, et qui peuvent ainsi être pris en compte (cf. consid. 5c supra). Il en va de même du rapport du 13 août 2014 du Dr Q.________ faisant mention d’une intervention chirurgicale le 2 juillet 2014 (hystéroscopie diagnostique et curetage explorateur fractionné ainsi qu’en une laparoscopie diagnostique avec adhésiolyse). Si l’on peine à comprendre pourquoi ces différents rapports, pourtant adressés pour la plupart à la Dre N.________, n’ont pas été produits en procédure administrative, force est de constater que l’intimé n’a pas estimé utile de soumettre ces documents au SMR afin qu’il se détermine à leur sujet dans le cadre de l’échange d’écritures en procédure judiciaire. S’agissant des rapports des 12 et 25 octobre 2023, ceux-ci peuvent également être pris en considération dans la mesure où ils ont trait à la situation médicale de</w:t>
      </w:r>
    </w:p>
    <w:p>
      <w:r>
        <w:t>- 21 - la recourante prévalant avant le rendu de la décision litigieuse, notamment en ce qui concerne l’évolution d’un nodule d’endométriose mis en évidence par l’IRM du 18 novembre 2022 (lésion d’aspect rétractile de 1,7 cm) et qui a été confirmé par une IRM du 12 octobre 2023 (nodule d’endométriose de 2,9 cm) menant à une intervention chirurgicale conjointe entre urologue et gynécologue pour tenter d’éradiquer la douleur par l’ablation des foyers d’endométriose (cf. rapport du 25 octobre 2023). Ainsi, force est de constater que la recourante a fourni des éléments démontrant une instruction plus que lacunaire de la part du SMR et susceptibles de modifier les résultats de l’instruction sur le plan médical.</w:t>
      </w:r>
    </w:p>
    <w:p>
      <w:r>
        <w:rPr>
          <w:b/>
        </w:rPr>
        <w:t>E. 7</w:t>
      </w:r>
    </w:p>
    <w:p>
      <w:r>
        <w:t>Il ressort des considérants qui précèdent que l’instruction menée par l’intimé est lacunaire – ce dont l’autorité devait se rendre compte au moment où elle a statué – et ne permet pas de se prononcer en toute connaissance de cause sur le droit de la recourante à des prestations de l’assurance-invalidité en suite de sa demande du 10 septembre 2021, singulièrement sur sa capacité de travail. Ni l’état de santé de la recourante, ni les conséquences de cet état de santé sur la capacité de travail résiduelle n’ont été établis de manière satisfaisante. Il se justifie par conséquent de renvoyer le dossier à l’OAI – à qui il appartient au premier chef d’instruire, conformément au principe inquisitoire qui régit la procédure dans le domaine des assurances sociales selon l’art. 43 LPGA -, cette solution apparaissant comme la plus opportune. Il incombera ainsi à l’intimé de procéder à un complément d’instruction. Il s’agira pour l’intimé de mettre en œuvre une expertise au sens de l’art. 44 LPGA comportant un volet de médecine interne ou rhumatologique, un volet gynécologique et un volet psychiatrique. La possibilité sera laissée aux experts de s'adjoindre les services d'un médecin spécialiste d'un ou plusieurs autre(s) domaine(s) s'ils l'estiment pertinent. La question du statut pourra également se poser en présence d’une assurée qui n’a toujours travaillé qu’à 60 %. Il reviendra ensuite à l’office, sur la base des données ainsi récoltées, de rendre une nouvelle décision statuant sur les prétentions de la recourante.</w:t>
      </w:r>
    </w:p>
    <w:p>
      <w:r>
        <w:t>- 22 -</w:t>
      </w:r>
    </w:p>
    <w:p>
      <w:r>
        <w:rPr>
          <w:b/>
        </w:rPr>
        <w:t>E. 8</w:t>
      </w:r>
    </w:p>
    <w:p>
      <w:r>
        <w:t>a) En définitive, le recours doit être admis et la décision attaquée annulée, la cause étant renvoyée à l’intimé pour complément d’instruction dans le sens des considérants puis rendre une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