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ZD23.045274 vom 10. Juni 2025</w:t>
      </w:r>
    </w:p>
    <w:p>
      <w:r>
        <w:t>VD Tribunal cantonal, 2025-06-10, FR</w:t>
      </w:r>
    </w:p>
    <w:p>
      <w:r>
        <w:rPr>
          <w:b/>
        </w:rPr>
        <w:t xml:space="preserve">Quelle: </w:t>
      </w:r>
      <w:r>
        <w:t>https://mcp.opencaselaw.ch/entscheid/vd_gerichte_ZD23.045274</w:t>
      </w:r>
    </w:p>
    <w:p>
      <w:r>
        <w:t>FR: VD_GERICHTE ZD23.045274 du 10 juin 2025</w:t>
      </w:r>
    </w:p>
    <w:p>
      <w:r>
        <w:t>IT: VD_GERICHTE ZD23.045274 del 10 giugno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w:t>
      </w:r>
    </w:p>
    <w:p>
      <w:r>
        <w:t>- 20 -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w:t>
      </w:r>
    </w:p>
    <w:p>
      <w:r>
        <w:t>- 21 - ressources de la personne assurée, de même que le critère de la résistance à un traitement conduit dans les règles de l’art (ATF 141 V 281 consid. 4.3 et 4.4).</w:t>
      </w:r>
    </w:p>
    <w:p>
      <w:r>
        <w:rPr>
          <w:b/>
        </w:rPr>
        <w:t>E. 5</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Le Tribunal fédéral a admis que l'octroi de mesures de réadaptation pouvait dans certaines circonstances particulières constituer une condition sine qua non, d’un point de vue professionnel, à la valorisation économique de la capacité de travail (TF 9C_254/2011 du 15 novembre 2011 consid. 7). Il a ainsi considéré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w:t>
      </w:r>
    </w:p>
    <w:p>
      <w:r>
        <w:t>- 22 -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précité consid. 6.4 ; TF 8C_446/2014 du 12 janvier 2015 consid. 4.2.4 ; TF 9C_409/2012 du 11 septembre 2012 consid. 2.3). En d’autres termes, l’OAI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TF 9C_227/2020 du 5 octobre 2020 consid. 2.2 ; TF 9C_304/2020 du 8 juillet 2020 consid. 3 et les références citées).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(TFA I 388/06 du 25 avril 2007 consid. 7.2 ; TFA I 660/02 du 2 décembre 2002 consid. 2.1). Le droit à une mesure de réadaptation déterminée suppose en effet qu’elle soit appropriée au but de la réadaptation poursuivi par</w:t>
      </w:r>
    </w:p>
    <w:p>
      <w:r>
        <w:t>- 23 -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w:t>
      </w:r>
    </w:p>
    <w:p>
      <w:r>
        <w:rPr>
          <w:b/>
        </w:rPr>
        <w:t>E. 5.1</w:t>
      </w:r>
    </w:p>
    <w:p>
      <w:r>
        <w:t>; 125 V 351 consid. 3a ; TF 8C_510/2020 du 15 avril 2021 consid. 2.4).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w:t>
      </w:r>
    </w:p>
    <w:p>
      <w:r>
        <w:t>- 24 -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w:t>
      </w:r>
    </w:p>
    <w:p>
      <w:r>
        <w:rPr>
          <w:b/>
        </w:rPr>
        <w:t>E. 6</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7</w:t>
      </w:r>
    </w:p>
    <w:p>
      <w:r>
        <w:t>Il convient dans un premier temps d’examiner la capacité de travail du recourant et son droit à la rente. a) Sur le plan somatique, l’expertise de I.________ n’a révélé aucune atteinte durablement incapacitante relevant de la médecine interne, ce qui est en adéquation avec les autres pièces médicales du dossier. Concernant les atteintes ostéoarticulaires, l’expert rhumatologue a indiqué que le recourant se plaignait au jour de l’expertise de douleurs au genou droit de siège antérieur et postérieur, permanentes, limitant le périmètre de marche à 40 minutes et gênant la montée et la descente des escaliers. Sur l’échelle EVA, elles étaient estimées à 7-8 sur 10 à la marche et à 4-5 sur 10 au repos. Le recourant signalait aussi des lombosciatalgies gauches apparues en 2014 qui étaient également quotidiennes, permanentes, pouvaient être aggravées par des gestes simples et étaient estimées à 7-8 sur 10. Il rapportait également avoir des cervicalgies irradiantes aux deux membres supérieurs ; ces douleurs permanentes, à prédominance matinale, étaient aggravées par le moindre effort et étaient estimées à 7-8 sur 10. Le recourant mentionnait enfin des signes atypiques au niveau des mains qui faisaient évoquer une dystonie. A l’examen clinique, l’expert rhumatologue a observé une raideur cervicale à la décontracture C5-C7 bilatérale sans syndrome radiculaire subjectif ni objectif. Il était d’avis que les données cliniques et neuroradiologiques pouvaient expliquer les cervicalgies mais pas leur irradiation dans les deux membres supérieurs. Concernant les lombalgies, il a noté qu’elles étaient d’origine dégénérative, sans authentique signe neurologique ni anomalie</w:t>
      </w:r>
    </w:p>
    <w:p>
      <w:r>
        <w:t>- 25 - nette à l’examen clinique et qu’elles pouvaient être expliquées par la hernie L5-S1 postéro-latérale droite. L’examen clinique de l’épaule droite était normal au jour de l’expertise. A niveau de l’épaule gauche, l’expert a relevé des signes de conflit sous-acromial, avec atteinte clinique de l’infra- épineux. Quant à l’examen des genoux, il était normal, avec une mobilité symétrique, sans épanchement intra-articulaire, sans aucune amyotrophie, et sans souffrance du compartiment fémoro-tibial médial ou fémoro-patellaire ; il y avait toutefois une douleur élective à la palpation du plateau tibial jusque dans la région de la patte d’oie. L’expert a observé que le recourant prenait un traitement antalgique à faible posologie quand bien même il alléguait des douleurs importantes. A l’issue de son examen et sur la base de l’ensemble du dossier médical mis à sa disposition, l’expert rhumatologue a posé les diagnostics de cervicalgies sur lésions dégénératives C4-C5 discrètes, de lombalgies chroniques sur hernie discale L5-S1 postérolatérale droite sans vrai syndrome radiculaire, de conflit sous-acromial de l’épaule gauche avec tendinopathie de l’infra- épineux et de status après plusieurs chirurgies au genou droit qui présentait une arthrose fémoro-patellaire. Il a conclu que la capacité de travail du recourant était nulle dans son ancienne activité professionnelle compte tenu des lésions dégénératives cervicales, du conflit sous-acromial chronique de l’épaule gauche et de l’arthrose fémoro-patellaire droite. Dans une activité adaptée aux limitations fonctionnelles induites par ces troubles, qu’il a énumérées précisément dans le rapport d’expertise, la capacité de travail était de 75 % selon l’expert rhumatologue, qui a tenu compte d’une baisse de rendement de 25 % en raison des limitations fonctionnelles. Il y a lieu de constater que les limitations fonctionnelles retenues par l’expert rhumatologue ne sont pas en contradiction avec celles constatées par les autres médecins ayant examiné le recourant et que son appréciation sur la capacité de travail n’est pas non plus sérieusement remise en doute par les rapports médicaux versés au dossier. Le recourant n’émet d’ailleurs aucun grief à l’encontre du volet rhumatologique de l’expertise.</w:t>
      </w:r>
    </w:p>
    <w:p>
      <w:r>
        <w:t>- 26 - b) Sur le plan psychiatrique, la Dre G.________ a mentionné que le recourant se plaignait d’une faible concentration et de difficultés de mémoire. Il décrivait un moral très bas, sans différence au cours de la journée. Il se plaignait également de fatigue importante, surtout lorsqu’il devait se rendre à des rendez-vous médicaux ou administratifs, de caractère fluctuant. Il déclarait avoir de temps en temps des idées noires passagères mais il se sentait bien entouré par ses amis et n’avait pas envie de passer à l’acte. Il gardait du plaisir à recevoir des visites et voir ses proches, surtout ses petits-enfants, et avait envie de repartir bientôt en vacances dans son pays. Le seul auto-reproche que l’assuré formulait était d’avoir quitté son pays d’origine, sa mère et ses enfants pour s’installer en Suisse en 2004. Il décrivait des crises de panique déclenchées par des douleurs thoraciques depuis son dernier infarctus en octobre 2019, qui étaient de plus en plus espacées. Il signalait aussi des ruminations anxieuses autour de la peur de mourir d’un infarctus. L’experte G.________ a observé que l’anamnèse du recourant mettait en évidence une enfance marquée par des violences, y compris physiques de la part de son père, une hyperactivité, une tendance au comportement bagarreur ainsi qu'un comportement déviant avec des micro-délits depuis le début de l'adolescence, qui avait motivé un placement dans une école spécialisée pour enfants avec des troubles du comportement. L’anamnèse révélait aussi une forte instabilité affective ; l’experte observant à cet égard que le recourant avait eu plusieurs enfants avec des femmes différentes et mentionnait une seule relation stable avec son ex-épouse. L’experte psychiatre a constaté que les capacités attentionnelles et de la concentration étaient bonnes et que le recourant était resté vigile et infatigable tout au long de l’entretien. Il présentait un discours très abondant et souvent digressif, sans être logorrhéique. L’experte n’a pas observé de signe d’anxiété ni d’agitation psychomotrice, mais une légère effervescence, le recourant faisant de grands gestes surtout des mains lorsqu’il parlait. Elle n’observait aucun argument témoignant de symptômes psychotiques. Le recourant donnait l’impression d’avoir de très bonnes capacités intellectuelles et un raisonnement conservé mais il était noté une certaine banalisation des comportements impulsifs évoqués spontanément et que le recourant tentait de justifier en adoptant une</w:t>
      </w:r>
    </w:p>
    <w:p>
      <w:r>
        <w:t>- 27 - posture de victime. Sur le plan affectif, il y avait une labilité émotionnelle avec des pleurs momentanés lorsque le recourant évoquait les problèmes de santé de sa mère ou le décès de trois de ses enfants, mais il retrouvait rapidement son calme et présentait une bonne thymie. A l’issue de son analyse, l’experte psychiatre a posé les diagnostics de trouble de la personnalité émotionnellement labile, de type impulsif (F60.30), et de trouble panique (anxiété épisodique paroxystique) (F41.0), en motivant son appréciation diagnostique de manière claire et précise. Concernant le trouble dépressif récurrent évoqué par les psychiatres traitants, elle a observé que le recourant avait présenté au moins trois épisodes dépressifs, respectivement en 2014, en janvier 2019 et en mai 2020. Ces épisodes avaient été déclenchés à chaque fois en réaction à un facteur de stress précis, notamment la séparation du recourant d’avec son épouse et le décès de ses enfants. Les éléments anamnestiques faisaient penser à des épisodes non sévères, avec rémission spontanée puisque le recourant n’avait jamais pris régulièrement les traitements antidépresseurs qui lui avaient été prescrits jusqu’en 2019. Lors de l’expertise, le tableau n’était aucunement évocateur d’un épisode dépressif et, selon les rapports médicaux versés au dossier, il n’y avait pas d’argument pour une persistance des symptômes dépressifs depuis 2021. Ces constatations de l’experte concordent avec celles de la psychiatre traitante qui a elle aussi observé dès le début de son suivi en décembre 2020 que le trouble dépressif récurrent ne justifiait plus une incapacité de travail. S’agissant ensuite du trouble panique, l’experte psychiatre a précisé que depuis le dernier infarctus survenu en octobre 2019, le recourant avait commencé à présenter des attaques de panique, survenant de manière imprévisible, le plus souvent lorsqu’il se trouvait seul. Il s’agissait de crises paucisymptomatiques étant donné que le recourant ne présentait qu’une partie des symptômes habituels d’une crise de panique. A la suite de la dernière crise survenue en août 2022,</w:t>
      </w:r>
    </w:p>
    <w:p>
      <w:r>
        <w:t>- 28 - l’expertisé arrivait à reconnaître le facteur psychologique qui entretenait ces crises, à savoir la peur de mourir d’un infarctus comme son père. Au vu de la fréquence peu importante des crises de panique et de l’absence de retentissement dans la capacité du recourant à se déplacer à l’extérieur ou de vivre seul, ce diagnostic était sans incidence sur la capacité de travail. L’experte psychiatre a ensuite expliqué de manière étayée et convaincante les raisons l’ayant conduite à retenir le diagnostic de trouble de la personnalité émotionnellement labile, de type impulsif, et à écarter celui de trouble de la personnalité paranoïaque posé par la psychiatre traitante. L’experte psychiatre a finalement examiné aussi la présence d’un trouble affectif bipolaire évoqué lors de l’hospitalisation psychiatrique du recourant qu’elle a exclu, étant relevé que les psychiatres traitants successifs du recourant ont eux aussi écarté un tel diagnostic. L’experte a ensuite examiné les ressources et limitations du recourant en faisant notamment usage de l’outil mini CIF-APP. Si l’expertisé présentait des limitations modérées quant à la flexibilité et l’adaptation, quant à la capacité de contact et de conversation avec les tiers et la capacité d’intégration dans un groupe, il disposait de nombreuses ressources. Le recourant qui ne savait pas écrire en français et n’était pas autonome pour sa gestion administrative, avait été capable de demander l’aide d’une assistante sociale du K.________ puis la mise en place d’une curatelle de gestion et représentation. Il s’appuyait aussi sur ses amis qui l’aidaient et le soutenaient. Il maintenait par ailleurs de bonnes relations avec ses proches. L’experte a aussi observé que malgré les éléments d’une personnalité impulsive, qui pouvaient rendre compte d’une intolérance à l’autorité professionnelle et des comportements inadéquats, voire querelleurs, quand le recourant se sentait contrarié, ces difficultés ne l’avaient pas empêché d’établir et de conserver un réseau social soutenant. L’évaluation clinique n’avait par ailleurs pas mis en évidence de dysfonctionnement relationnel majeur, hormis une tendance à attribuer exclusivement à autrui la responsabilité de ses problèmes. L’experte a aussi observé que les difficultés rapportées pour supporter</w:t>
      </w:r>
    </w:p>
    <w:p>
      <w:r>
        <w:t>- 29 - l’autorité et l’intolérance aux critiques des autres avaient peu entravé le parcours du recourant. Il y a lieu de constater que l’experte psychiatre a procédé à une étude circonstanciée du cas sur la base de l’ensemble du dossier médical, qui a été résumé dans le rapport d’expertise. Elle s’est également fondée sur les informations données par la psychiatre traitante qu’elle a contactée par téléphone dans le cadre de l’expertise. Elle a tenu compte des plaintes et déclarations du recourant, a décrit son quotidien et dressé une anamnèse détaillée sur les plans personnel, professionnel, social et médical. Elle s’est par ailleurs déterminée sur l’évolution de l’état de santé du recourant et le traitement suivi, relevant à cet égard que la thérapie actuelle était adéquate. Le recourant investissait l’espace thérapeutique avec sa psychiatre traitante pour se sentir soutenu et exprimer sa colère de manière appropriée, ce qui évitait probablement des débordements sur le plan social. L’experte psychiatre s’est aussi prononcée sous l’angle de la cohérence, en relevant notamment un décalage entre les plaintes du recourant qui parlaient en faveur d’une persistance de symptômes dépressifs et les observations cliniques faites au cours de l’expertise. L’experte a aussi remarqué que les déclarations du recourant concernant la prise effective d’un traitement antidépresseur étaient contredites par les analyses de laboratoire effectuées dans le cadre de l’expertise et que la non-adhérence du recourant à un traitement psychotrope avait été confirmée par la Dre L.________ qui n’avait pas renouvelé l’ordonnance de Cymbalta prescrit par la précédente psychiatre traitante. L’experte G.________ a conclu que les difficultés du recourant pour envisager la reprise d’une quelconque activité professionnelle, même adaptée à ses limitations physiques, ne pouvaient pas s’expliquer par le trouble de la personnalité sous-jacent, mais par des facteurs sortant du cadre médical. Il y avait un décalage culturel, que le recourant admettait spontanément, qui pouvait également expliquer les difficultés du prénommé à s’adapter à un cadre professionnel plus structuré et exigeant par rapport à celui prévalant dans son pays d’origine. Elle a conclu que la capacité de travail du recourant était totale sur le plan psychiatrique, sauf entre janvier 2019 et octobre 2020 en raison du dernier épisode dépressif</w:t>
      </w:r>
    </w:p>
    <w:p>
      <w:r>
        <w:t>- 30 - qui avait justifié une incapacité de travail de 50 % durant cette période. En raison de la faible tolérance du recourant à un cadre professionnel structurant et à ses difficultés pour gérer ses émotions, qui seraient probablement exacerbées dans un groupe de nombreux collaborateurs, elle préconisait une activité solitaire ou en petit groupe. L’appréciation de l’experte psychiatre de la situation médicale du recourant et de sa capacité de travail est claire et convaincante. Elle n’est sérieusement pas remise en cause par les arguments du recourant ni les autres pièces du dossier. Contrairement à ce que semble soutenir le recourant, l’experte psychiatre ne s’est pas basée uniquement sur le réseau social soutenant du recourant pour son analyse de la capacité de travail, mais a tenu compte de l’ensemble des indicateurs jurisprudentiels applicables en la matière (cf. consid. 4e ci-dessus). L’expertise psychiatrique ne peut pas non plus être écartée du simple fait qu’elle a été réalisée une année avant la décision attaquée, d’autant moins que l’état de santé psychique du recourant n’a pas subi de modification notable durant ce laps de temps, comme cela est du reste confirmé à la lecture du dernier rapport du 14 mars 2024 de la psychiatre traitante. Il y a lieu de constater que dans ce document, la Dre L.________ se rallie finalement au diagnostic de trouble de la personnalité émotionnellement labile de type impulsif posé par l’experte psychiatre de I.________. En définitive, son appréciation diverge uniquement sur la capacité de travail qu’elle estime à 50 % en raison de l’épuisement de la capacité du recourant à contrôler et à gérer ses émotions et ses accès de colère. Or, les difficultés rencontrées par le recourant en lien avec son impulsivité ont été dûment prises en compte par l’experte G.________ qui, contrairement à la psychiatre traitante, a évalué la capacité de travail du recourant en tenant compte également des ressources du prénommé. La mention d’un faux self jusqu’en 2021 faite par la psychiatre traitante pour la première fois dans son dernier rapport établi au stade du recours n’est pas un élément de nature à faire douter des conclusions de l’experte G.________, qui s’est entretenue oralement avec la psychiatre traitante pour la réalisation de l’expertise, tout particulièrement sur le trouble de la personnalité, et qui disposait de tous les éléments nécessaires à</w:t>
      </w:r>
    </w:p>
    <w:p>
      <w:r>
        <w:t>- 31 - l’évaluation de l’état de santé psychique du recourant et de son évolution dans le temps. A noter enfin que l’appréciation de la psychiatre traitante sur la capacité de travail est non seulement peu étayée mais apparaît quelque peu contradictoire. Alors qu’elle retenait en 2021 et 2023 une incapacité de travail totale en raison du trouble de la personnalité présent chez le recourant, elle n’explique pas vraiment les raisons la conduisant à retenir en 2024 une incapacité de travail de seulement 50 % liée à ce même trouble, alors qu’elle relève que le tableau clinique est superposable à ses précédents rapports. c) En définitive, on ne saurait faire grief à l’intimé d’avoir retenu, sur la base du rapport d’expertise de I.________ et de l’avis du SMR, que le recourant présente depuis mars 2018 une incapacité de travail totale dans son ancienne activité, mais qu’une activité adaptée aux limitations fonctionnelles énumérées dans la décision attaquée était exigible à 50 % depuis mars 2019, à l’issue du délai d’attente d’une année, puis à 75 % à compter du 1er novembre 2020. d) Il résulte de ce qui précède que les conclusions du recourant tendant à la mise en œuvre d’une expertise psychiatrique et à un renvoi de la cause à l’intimé pour nouvelle décision tenant compte des conclusions de l’expertise à mettre en œuvre doivent être rejetées. En effet, les éléments médicaux du dossier sont suffisants pour permettre à la Cour de céans de se prononcer en pleine connaissance (appréciation anticipée des preuves : ATF 145 I 167 consid. 4.1 ; 140 I 285 consid. 6.3.1 ; 130 II 425 consid. 2.1).</w:t>
      </w:r>
    </w:p>
    <w:p>
      <w:r>
        <w:rPr>
          <w:b/>
        </w:rPr>
        <w:t>E. 8</w:t>
      </w:r>
    </w:p>
    <w:p>
      <w:r>
        <w:t>Il reste à examiner la question de savoir si l’intimé pouvait rendre une décision d’octroi de rente d’invalidité limitée dans le temps sans accorder au préalable des mesures de réadaptation. Comme l’a relevé à juste titre le recourant, il était âgé de plus de 55 ans lors de la suppression de la rente d’invalidité limitée dans le temps. Il appartient donc à la catégorie des assurés dont il convient de présumer qu’ils ne peuvent en principe pas entreprendre de leur propre</w:t>
      </w:r>
    </w:p>
    <w:p>
      <w:r>
        <w:t>- 32 - chef tout ce que l’on peut raisonnablement attendre d’eux pour tirer profit de leur capacité de travail résiduelle. L’intimé aurait dû examiner son besoin de mesures d’ordre professionnel et, cas échéant, lui en proposer avant de rendre la décision lui octroyant une rente limitée du 1er avril 2019 au 31 janvier 2021. Or, l’intimé n’a pas examiné si le recourant, alors âgé de 59 ans, avait besoin de mesures d’ordre professionnel, ni ne lui en a proposées avant de statuer sur son droit à une rente d’invalidité limitée dans le temps. En l’espèce, on ne saurait présumer que des mesures d’ordre professionnel étaient d’emblée vouées à l’échec ou que le recourant les aurait refusées. A cet égard, il ne peut pas être conclu à l’absence de volonté de réadaptation de la part du recourant au seul motif qu’il a décliné l’aide au placement proposée par l’OAI en exposant qu’il estimait que son état de santé ne lui permettait pas d’entreprendre une telle démarche. Par ailleurs, pour fonder une situation exceptionnelle où l'assuré âgé de plus de 55 ans est apte à se réadapter par soi-même, il ne suffit pas de mentionner des exemples d'activités adaptées à l'état de santé de celui-ci, qui ne nécessitent pas de formation particulière. L'examen de la nécessité de mesures d'ordre professionnel doit en effet être effectué malgré l'existence d'une capacité de travail médico- théorique, en fonction des circonstances concrètes (TF 9C_211/2021 du 5 novembre 2021 consid. 3.2 et la référence). En l’occurrence, le recourant est sorti du marché du travail depuis plus de dix ans, il n’a pas de formation professionnelle certifiée et a exercé le même métier depuis son arrivée en Suisse. L’intimé ne fait du reste état d’aucun élément de nature à rendre vraisemblable que le recourant disposerait d’emblée de capacités suffisantes lui permettant une réadaptation par soi-même. Dans ces circonstances, l’intimé ne pouvait pas se limiter à lui adresser une communication d’aide au placement à la même date que le projet de décision d’octroi de rente limitée dans le temps, mais aurait dû examiner si le recourant avait besoin de mesures d’ordre professionnel et le cas échéant lui en octroyer. Au vu de ce qui précède, la décision attaquée doit être annulée et la cause renvoyée à l’intimé pour qu’il examine concrètement le besoin du recourant de mesures d’ordre professionnel. Ce n’est qu’à</w:t>
      </w:r>
    </w:p>
    <w:p>
      <w:r>
        <w:t>- 33 - l’issue de cet examen et de la mise en œuvre d'éventuelles mesures de réintégration sur le marché du travail que l’intimé pourra définitivement statuer sur la rente limitée dans le temps du recourant. Précisons encore que l’intimé devra également revoir les bases de calcul de la rente mentionnées dans la décision attaquée qui comportent des erreurs. En particulier, l’intimé a alloué une rente entière limitée dans le temps (du 1er avril 2019 au 31 janvier 2021), calculée sur la base d’un taux d’invalidité de 100 %, alors qu’il a fixé à 43 % le degré d’invalidité du recourant et lui a reconnu le droit à un quart de rente.</w:t>
      </w:r>
    </w:p>
    <w:p>
      <w:r>
        <w:rPr>
          <w:b/>
        </w:rPr>
        <w:t>E. 9</w:t>
      </w:r>
    </w:p>
    <w:p>
      <w:r>
        <w:t>En définitive, le recours doit être admis partiellement et la décision attaquée annulée, la cause étant retournée à l’intimé pour complément d’instruction dans le sens des considérants puis nouvelle décision. La procédure de recours en matière de contestations portant sur des prestations de l’assurance-invalidité est soumise à des frais de justice (art. 69 al. 1bis LAI). Les frais judiciaires, arrêtés à 600 fr., sont mis par 300 fr. à la charge du recourant et par 300 fr. à la charge de l’intimé, vu le sort du recours. Le recourant étant au bénéfice de l’assistance judiciaire, les frais mis à sa charge ci-avant sont provisoirement supportés par l’Etat. Vu le sort de ses conclusions, le recourant a droit à une indemnité de dépens réduite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Dans la mesure où le recourant est au bénéfice de l’assistance judiciaire, son conseil peut prétendre à une équitable indemnité pour son mandat d’office. Me Graf a produit une liste des opérations, qui ne peut pas être entièrement suivie. Elle mentionne en effet des opérations effectuées entre le 12 août et le 23 décembre 2024 (des échanges avec le</w:t>
      </w:r>
    </w:p>
    <w:p>
      <w:r>
        <w:t>- 34 - recourant et deux courriers envoyés à l’OAI qui n’ont pas été communiqués à la Cour de céans), qui sont postérieures au dernier échange d’écritures et ne semblent pas déterminantes pour la présente procédure. Il y a ainsi lieu de tenir compte d’un total de 16h24 dans le cadre de l’assistance judiciaire, à un tarif horaire de 180 fr., soit 2’952 fr., montant auquel il convient d’ajouter des débours forfaitaires à concurrence de 5 % des honoraires admis (art. 3bis al. 1 RAJ [règlement du 7 décembre 2010 sur l'assistance judiciaire en matière civile ; BLV 211.02.3]), par 147 fr. 60, et la TVA au taux de 8,1 %, par 251 fr., ce qui aboutit à une indemnité d’office de 3'350 fr. 60. Cette indemnité n’étant que partiellement couverte par les dépens, le solde, soit 1'350 fr. 60, sera provisoirement supporté par le canton.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