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ZD23.045073 vom 2. Dezember 2024</w:t>
      </w:r>
    </w:p>
    <w:p>
      <w:r>
        <w:t>VD Tribunal cantonal, 2024-12-02, FR</w:t>
      </w:r>
    </w:p>
    <w:p>
      <w:r>
        <w:rPr>
          <w:b/>
        </w:rPr>
        <w:t xml:space="preserve">Quelle: </w:t>
      </w:r>
      <w:r>
        <w:t>https://mcp.opencaselaw.ch/entscheid/vd_gerichte_ZD23.045073</w:t>
      </w:r>
    </w:p>
    <w:p>
      <w:r>
        <w:t>FR: VD_GERICHTE ZD23.045073 du 2 décembre 2024</w:t>
      </w:r>
    </w:p>
    <w:p>
      <w:r>
        <w:t>IT: VD_GERICHTE ZD23.045073 del 2 dicembre 2024</w:t>
      </w:r>
    </w:p>
    <w:p>
      <w:pPr>
        <w:pStyle w:val="Heading2"/>
      </w:pPr>
      <w:r>
        <w:t>Erwägungen</w:t>
      </w:r>
    </w:p>
    <w:p>
      <w:r>
        <w:rPr>
          <w:b/>
        </w:rPr>
        <w:t>E. 28</w:t>
      </w:r>
    </w:p>
    <w:p>
      <w:r>
        <w:t>septembre 2023, fait suite à une demande de prestations datant du mois de février 2019, avec une incapacité de travail de longue durée remontant au plus tard à octobre 2019, le moment de la naissance d’un hypothétique droit à une rente est très amplement antérieur au 1er janvier 2022, de sorte que le régime légal et règlementaire en vigueur jusqu’au</w:t>
      </w:r>
    </w:p>
    <w:p>
      <w:r>
        <w:rPr>
          <w:b/>
        </w:rPr>
        <w:t>E. 31</w:t>
      </w:r>
    </w:p>
    <w:p>
      <w:r>
        <w:t>décembre 2021 trouve application. 3.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 En vertu de l’art. 36 al. 1 LAI, l’octroi d’une rente ordinaire de l’assurance-invalidité est subordonné à une durée minimale de trois années de cotisations lors de la survenance de l’invalidité. Cette disposition a été modifiée lors de la cinquième révision de la LAI (loi fédérale du 6 octobre 2006 modifiant la LAI ; RO 2007 5129), entrée en vigueur le 1er janvier 2008.</w:t>
      </w:r>
    </w:p>
    <w:p>
      <w:r>
        <w:t>- 14 - 4.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4 al. 2 LAI, l’invalidité est réputée survenue dès qu’elle est, par sa nature et sa gravité, propre à ouvrir le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références citées). b) S'agissant du droit à une rente, la survenance de l'invalidité se situe au moment où celui-ci prend naissance (conformément à l'art. 28 al. 1 LAI), soit dès que l'assuré présente une incapacité de gain durable de 40 pour cent au moins (variante I) ou dès qu'il a présenté, en moyenne, une incapacité de travail de 40 pour cent au moins pendant une année sans interruption notable (variante II), mais au plus tôt le premier jour du mois qui suit le dix-huitième anniversaire de l'assuré (art. 29 al. 1 LAI).</w:t>
      </w:r>
    </w:p>
    <w:p>
      <w:r>
        <w:t>- 15 - 5.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Fondés sur l’art. 59 al. 2bis LAI (dans sa teneur en vigueur au 31 décembre 2021), en corrélation avec l’art. 49 al. 1 RAI, les avis médicaux du SMR se distinguent des expertises ou des examens médicaux</w:t>
      </w:r>
    </w:p>
    <w:p>
      <w:r>
        <w:t>- 16 -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divergeant de celle de l’expert (TF 9C_268/2011 du 26 juillet 2011 consid. 6.1.2 et les références citées). e)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w:t>
      </w:r>
    </w:p>
    <w:p>
      <w:r>
        <w:t>- 17 - au besoin, une instruction complémentaire sous la forme d’une nouvelle expertise médicale (ATF 125 V 351 consid. 3b/aa et les références citées ; TF 9C_719/2016 du 1er mai 2017 consid. 5.2.1 et les références citées). 6. a) En l’occurrence, l’OAI a refusé l’octroi de ses prestations d’assurance à l’assurée au motif que les conditions générales d’assurance n’étaient pas remplies. Il a retenu que l’invalidité était survenue déjà dès l’adolescence de la recourante, voire dès l’âge de 13 ans, alors qu’elle vivait encore en [...], à savoir alors que l’assurée ne comptait pas trois années de cotisation compte tenu de son arrivée en Suisse en janvier 2005 et de sa première activité lucrative en 2010. De son côté, l’assurée fait valoir que l’expertise réalisée par D.________ a pleine valeur probante et que la date du début de l’invalidité devant être retenue par l’OAI est celle retenue par les experts, à savoir octobre 2019. Elle argue par ailleurs que sa capacité de travail n’était auparavant pas limitée et considère dès lors qu’elle remplit la condition des trois années de cotisation. b) En raison d’appréciations divergentes de la capacité de travail des médecins consultés par l’assurée et sans corrélation avec des limitations fonctionnelles, l’OAI a mis en œuvre une expertise pluridisciplinaire auprès de D.________. Les experts mandatés ont exposé que les problèmes somatiques étaient venus se surajouter aux problèmes d’ordre psychiatrique qui étaient au premier plan. Ils ont estimé que la capacité de travail était nulle de longue durée en raison des troubles psychiatriques, en faisant remonter la survenance de l’invalidité à octobre 2019, date de la première consultation psychiatrique de l’assurée, auprès du Dr P.________. Pour sa part et après avoir réinterrogé les experts de D.________, la médecin du SMR, Dre H.________, a jugé qu’il fallait s’écarter de l’expertise au motif qu’elle était incohérente.</w:t>
      </w:r>
    </w:p>
    <w:p>
      <w:r>
        <w:t>- 18 - Or en l’occurrence, on ne voit pas quelle incohérence résulterait de l’expertise et de son complément, qui justifierait de s’écarter des conclusions circonstanciées de cette expertise, dont le rapport remplit à l’évidence les réquisits jurisprudentiels pour se voir reconnaître une pleine valeur probante. Ce rapport est en effet le fruit d’une analyse approfondie du cas, en ce qu’il comporte une anamnèse complète, fait la synthèse des documents médicaux, fait état des plaintes exprimées par la recourante, et décrit le contexte déterminant. Il fait l’objet d’une évaluation consensuelle, qui repose sur des investigations complètes dans les domaines psychiatrique, rhumatologique et de médecine interne. Les répercussions fonctionnelles des troubles physiques et psychiques diagnostiqués lege artis sur la capacité de travail de la recourante, retenues par les experts, emportent la conviction. Ce rapport procède donc d’une appréciation motivée de la situation par des spécialistes, et parvient à des conclusions convaincantes. En particulier, s’agissant des troubles psychiatriques, les experts de D.________ ont certes estimé que le trouble de la personnalité s’était manifesté dès l’adolescence de l’assurée (cf. rapport d’expertise de D.________ du 4 octobre 2022, volets consensuel, p. 3 et psychiatrique, p. 6), mais ont retenu qu’il y avait au premier plan un trouble de la personnalité qui s’était progressivement décompensé au gré des problèmes de santé physique (cf. ibidem, volets consensuel, p. 6 et psychiatrique, p. 5). De plus, certains évènements de la vie de la recourante avaient épuisé ses ressources, notamment le fait qu’elle avait dû s’occuper de son grand-père malade lorsqu’elle était enfant, qu’elle avait fait face à un père violent, à un mariage arrangé en Suisse, ainsi qu’à des grossesses compliquées (cf. ibidem, volet de médecine interne générale, p. 11). Dans son rapport du 3 août 2020, le Dr P.________ fait également état d’épisodes dépressifs chez la recourante, survenus à l’âge de 25 ans et encore en novembre 2018, lié au décès de son père, à sa dernière grossesse et à une relation de couple conflictuelle. Ces éléments ont provoqué des réactions somatiques qui ont, finalement, entraîné une décompensation du trouble psychiatrique. En outre, en plus des atteintes physiques qui ont décompensé l’état psychique, les experts mentionnent</w:t>
      </w:r>
    </w:p>
    <w:p>
      <w:r>
        <w:t>- 19 - également des atteintes physiques non stabilisées, telles que les effets négatifs faisant suite à l’opération de bypass, ainsi que des douleurs ostéoarticulaires qui accentuent encore les atteintes psychiatriques justifiant l’incapacité totale de travail (cf. rapport d’expertise de D.________ du 4 octobre 2022, volet consensuel, p. 6). Le Dr P.________, qui a examiné l’assurée en vue de l’opération de bypass gastrique, a jugé que le trouble psychiatrique datait d’octobre 2019, date de son examen – sans appréciation rétrospective, laquelle ne se justifiait pas dans le contexte de son examen – dans la mesure où l’opération avait pour objectif principal de soulager les douleurs somatiques de l’assurée (lombalgies et diabète). Etant donné l'importance de l'obésité et les répercussions métaboliques importantes, cet objectif primait alors sur les risques psychiques. L'évolution a toutefois montré que cette intervention chirurgicale avait contribué à décompenser encore le trouble de la personnalité, avec une difficulté de l'accepter (cf. complément d’expertise de D.________ du 10 janvier 2023). L’ensemble des documents médicaux, même antérieurs à l’expertise, sont concordants à cet égard. La recourante a d’ailleurs certes travaillé à temps partiel auparavant, probablement en lien avec l’arrivée de ses enfants, mais a débuté une activité lucrative dès 2010 sans qu’il n’ait été produit ni arrêts de travail fréquents, ni documents démontrant des licenciements successifs en raison de problèmes relationnels, ni aucune perte financière en raison de ses troubles psychiques. On peut relever que l’assurée est suivie en consultation de diabétologie depuis 2009 à la fréquence de trois à quatre fois par an et que les médecins de ce service n'ont jamais signé d’arrêt de travail ni même signalé un trouble psychiatrique justifiant d’adresser l’intéressée à un autre service. Dans ces circonstances, il faut retenir les conclusions claires et non contradictoires de l’expertise de D.________ et admettre que les troubles psychiatriques remontent probablement à l’adolescence, mais que ce sont les problèmes somatiques surajoutés ainsi que certains évènements de la vie de l’assurée qui ont décompensé de manière durable, par épuisement des ressources, l’état mental constituant la cause d’une incapacité de travail</w:t>
      </w:r>
    </w:p>
    <w:p>
      <w:r>
        <w:t>- 20 - totale plus tardive. Au demeurant, le Dr Y.________ du Centre [...], où l’assurée est suivie depuis août 2022 rejoint également l’avis des experts de D.________ (cf. rapport du 30 mai 2023). En l’absence de documents médicaux relatifs à l’état de santé de la recourante antérieurs à sa venue en Suisse en 2005, le bien-fondé des conclusions des experts de D.________, qui reposent sur les rapports médicaux au dossier, leurs examens ainsi que les éléments anamnestiques recueillis au cours de l’expertise, notamment auprès de la recourante elle-même, peut être reconnu. En outre, l’échec de son expérience professionnelle en [...] ne saurait être imputé à ses troubles psychiatriques, même si ceux-ci ont pu jouer un rôle dans cet échec. En effet, ces éléments de fait n’ont pas – à cette époque – eu d’impact documenté sur sa capacité de travail. L’appréciation effectuée par la Dre H.________ du SMR, suivie par l’intimé n’est ainsi pas soutenable. L’existence d’un trouble psychique est certes antérieure à l’arrivée de l’assurée en Suisse, mais c’est la décompensation de ce trouble – que la pose d’un bypass gastrique en 2021 n’a pas permis d’améliorer – qui a conduit à l’incapacité de travail totale durable, laquelle remonte de manière vraisemblable à octobre 2019. c) Compte tenu de ce qui précède, les conditions d’assurance – singulièrement la condition des trois ans de cotisation au moment de la survenance de l’invalidité – et non de l’existence de l’atteinte à la santé – au sens de l’art. 36 al. 1 LAI – sont remplies. Partant, l’intimé n’était pas fondé à nier à la recourante le droit aux prestations de l’AI sur cette base, ce qui conduit à l’admission du recours. 7. a) En conclusion, le recours doit être admis, la décision entreprise annulée et la cause renvoyée à l’OAI, à charge pour lui d’entrer en matière et investiguer le taux d’invalidité et l’éventuel droit à des prestations de l’assurée.</w:t>
      </w:r>
    </w:p>
    <w:p>
      <w:r>
        <w:t>- 21 -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qui obtient gain de cause avec l’aide d’un avocat, a droit à une indemnité de dépens à titre de participation aux honoraires de son conseil (art. 61 let. g LPGA). Vérifiée d’office, la liste des opérations déposée par Me Zürcher le 29 janvier 2024, faisant état de 8 heures et 51 minutes de travail, peut être admise. Il convient dès lors de fixer l’indemnité de dépens à 2'521 fr., débours et TVA compris (art. 10 et 11 TFJDA [tarif du 28 avril 2015 des frais judiciaires et des dépens en matière administrative ; BLV 173.36.5.1]), et de la mettre entièrement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