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ZD23.043698 vom 21. November 2024</w:t>
      </w:r>
    </w:p>
    <w:p>
      <w:r>
        <w:t>VD Tribunal cantonal, 2024-11-21, FR</w:t>
      </w:r>
    </w:p>
    <w:p>
      <w:r>
        <w:rPr>
          <w:b/>
        </w:rPr>
        <w:t xml:space="preserve">Quelle: </w:t>
      </w:r>
      <w:r>
        <w:t>https://mcp.opencaselaw.ch/entscheid/vd_gerichte_ZD23.043698</w:t>
      </w:r>
    </w:p>
    <w:p>
      <w:r>
        <w:t>FR: VD_GERICHTE ZD23.043698 du 21 novembre 2024</w:t>
      </w:r>
    </w:p>
    <w:p>
      <w:r>
        <w:t>IT: VD_GERICHTE ZD23.043698 del 21 novembre 2024</w:t>
      </w:r>
    </w:p>
    <w:p>
      <w:pPr>
        <w:pStyle w:val="Heading2"/>
      </w:pPr>
      <w:r>
        <w:t>Erwägungen</w:t>
      </w:r>
    </w:p>
    <w:p>
      <w:r>
        <w:rPr>
          <w:b/>
        </w:rPr>
        <w:t>E. 3</w:t>
      </w:r>
    </w:p>
    <w:p>
      <w:r>
        <w:t>Le litige porte sur le droit du recourant à des prestations de l’assurance-invalidité à la suite de sa demande du 24 septembre 2022.</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w:t>
      </w:r>
    </w:p>
    <w:p>
      <w:r>
        <w:t>- 7 -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 Conformément à l’art. 28a al. 1, 1ère phrase, LAI, l’évaluation du taux d’invalidité des assurés exerçant une activité lucrative est régie par l’art. 16 LPGA. La quotité de la rente est fixée en pourcentage d’une rente entière (art. 28b al. 1 LAI).</w:t>
      </w:r>
    </w:p>
    <w:p>
      <w:r>
        <w:rPr>
          <w:b/>
        </w:rPr>
        <w:t>E. 5</w:t>
      </w:r>
    </w:p>
    <w:p>
      <w:r>
        <w:t>a)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(ATF 132 V 93 consid. 4 et les références citées ; TF 8C_160/2016 du 2 mars 2017 consid. 4.1 ; TF 8C_862/2008 du 19 août 2009 consid. 4.2). b) Selon le principe de la libre appréciation des preuves (art. 61 let. c LPGA), le juge apprécie librement les preuves médicales qu’il a recueillies, sans être lié par des règles formelles, en procédant à une</w:t>
      </w:r>
    </w:p>
    <w:p>
      <w:r>
        <w:t>- 8 -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 125 V 351 consid. 3a ; TF 9C_115/2018 du 5 juillet 2018 consid. 4.1 et les références).</w:t>
      </w:r>
    </w:p>
    <w:p>
      <w:r>
        <w:rPr>
          <w:b/>
        </w:rPr>
        <w:t>E. 6</w:t>
      </w:r>
    </w:p>
    <w:p>
      <w:r>
        <w:t>Le recourant déplore, au moins implicitement, que l’OAI ne lui ait pas reconnu le droit à des mesures d’ordre professionnel. 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Pour déterminer si une mesure est de nature à maintenir ou à améliorer la capacité de gain d’un assuré, il convient d’effectuer un pronostic sur les chances de succès des mesures demandées (ATF 132 V 215 consid. 3.2.2 et les références citées), celles-ci ne devant pas être allouées si elles sont vouées à l’échec selon toute vraisemblance (TF I 388/06 du 25 avril 2007 consid. 7.2 ; TFA I 660/02 du 2 décembre 2002 consid. 2.1). Le droit à une mesure de réadaptation déterminée suppose en effet qu’elle soit appropriée au but de la réadaptation poursuivi par l’assurance-invalidité, tant objectivement en ce qui concerne la mesure</w:t>
      </w:r>
    </w:p>
    <w:p>
      <w:r>
        <w:t>- 11 - que sur le plan subjectif en ce qui concerne la personne de l’assuré. En effet, une mesure de réadaptation ne peut être efficace que si la personne à laquelle elle est destinée est susceptible, partiellement au moins, d'être réadaptée (TF 9C_846/2018 du 29 novembre 2019 consid. 5.1 et la jurisprudence citée). Partant, si l’aptitude subjective de réadaptation de l’assuré fait défaut, l’administration peut refuser de mettre en œuvre une mesure ou y mettre fin (TF I 552/06 du 13 juin 2007 consid. 3.1 ; TFA I 370/98 du 26 août 1999 publié in : VSI 3/2002 p. 111 consid. 2 et les références citées). b) En l’espèce, le recourant a bénéficié de la part de l’intimé d’une mesure d’intervention précoce sous forme de modules externalisés auprès d’E.________ SA. Toutefois, cette société a constaté par rapport du 8 février 2023 que le très faible niveau de français du recourant ne permettait pas de l’accompagner en phase 1 de la mesure. L’OAI a ensuite estimé qu’aucune autre mesure ne se justifiait (cf. « IP – Proposition de DDP » du 10 février 2023). Quoiqu’il en soit, pour que l’octroi de mesures d’ordre professionnel entre en considération, le préjudice économique doit au moins être de 20 % (ATF 139 V 399 consid. 5.3 ; 130 V 488 consid. 4.2 et les références citées). Or, dans l’exercice d’une activité adaptée à son état de santé déficient, le recourant réaliserait un revenu au moins équivalent à celui qui était le sien avant l’accident du 16 mars 2022. C’est dès lors également à juste titre que l’intimé a constaté que le droit à des mesures d’ordre professionnel n’était pas ouvert en faveur du recourant.</w:t>
      </w:r>
    </w:p>
    <w:p>
      <w:r>
        <w:rPr>
          <w:b/>
        </w:rPr>
        <w:t>E. 7</w:t>
      </w:r>
    </w:p>
    <w:p>
      <w:r>
        <w:t>a) Sur le vu de ce qui précède, le recours, mal fondé, doit être rejeté et la décision de l’intimé du 25 septembre 2023 confirmée. b) La procédure de recours en matière de contestations portant sur des prestations de l’assurance-invalidité est soumise à des frais de justice (art. 69 al. 1bis LAI). Il convient de les fixer à 600 fr. et de les mettre à la charge du recourant, vu le sort de ses conclusions.</w:t>
      </w:r>
    </w:p>
    <w:p>
      <w:r>
        <w:t>- 12 - c) Il n’y a pas lieu d’allouer de dépens au recourant, qui n’obtient pas gain de cause et a procédé sans mandataire qualifié (art. 61 let. g LPGA ;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