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ZD23.043665 vom 23. Januar 2025</w:t>
      </w:r>
    </w:p>
    <w:p>
      <w:r>
        <w:t>VD Tribunal cantonal, 2025-01-23, FR</w:t>
      </w:r>
    </w:p>
    <w:p>
      <w:r>
        <w:rPr>
          <w:b/>
        </w:rPr>
        <w:t xml:space="preserve">Quelle: </w:t>
      </w:r>
      <w:r>
        <w:t>https://mcp.opencaselaw.ch/entscheid/vd_gerichte_ZD23.043665</w:t>
      </w:r>
    </w:p>
    <w:p>
      <w:r>
        <w:t>FR: VD_GERICHTE ZD23.043665 du 23 janvier 2025</w:t>
      </w:r>
    </w:p>
    <w:p>
      <w:r>
        <w:t>IT: VD_GERICHTE ZD23.043665 del 23 gennaio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- 15 -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- 16 - n’est ni l’origine du moyen de preuve, ni sa désignation comme rapport ou comme expertise, mais bel et bien son contenu (ATF 134 V 231 consid. 5.1 ; 125 V 351 consid. 3a ; TF 8C_510/2020 du 15 avril 2021 consid. 2.4).</w:t>
      </w:r>
    </w:p>
    <w:p>
      <w:r>
        <w:rPr>
          <w:b/>
        </w:rPr>
        <w:t>E. 6</w:t>
      </w:r>
    </w:p>
    <w:p>
      <w:r>
        <w:t>a) En l’espèce, se fiant à l’appréciation du SMR, l’autorité intimée maintient avoir été fondée à nier tout droit à une rente d’invalidité en faveur de la recourante, au motif qu’à l’échéance d’une période de six mois à compter du dépôt de la demande de prestations en octobre 2013, la capacité de travail de l’intéressée était de 100 % dans une activité adaptée aux limitations fonctionnelles retenues et que, après comparaison des revenus, le degré d’invalidité était de 11,64 %. Depuis le mois de mai 2016, la capacité de travail résiduelle de la recourante était de 70 % dans une activité adaptée, ce qui aboutissait à retenir un degré d’invalidité de 31,21 %. Cette décision se fonde en particulier sur le rapport d’expertise pluridisciplinaire de l’Unité d’expertises médicales d’I._____________ du 23 mars 2021 et son complément. De son côté, la recourante doute de la valeur probante de l’expertise pluridisciplinaire au dossier en lui opposant les rapports postérieurs des médecins traitants, faisant valoir que la cause devait être davantage instruite sur le plan médical au vu de la maladie de Behçet et l’état psychique défaillant. Elle discute également le calcul du degré d’invalidité, en particulier le revenu d’invalide et l’abattement retenus. b) S’agissant de l’aspect médical, il convient de relever que les constatations de l’expertise pluridisciplinaire reposent sur les éléments médicaux mis à la disposition de ses auteurs dont les conclusions sont pratiquement superposables à celles des médecins traitants. Seule l’évaluation de la capacité de travail de la recourante dans une activité adaptée diffère. Alors que les médecins traitants retiennent une capacité de travail résiduelle de 50 %, voire de 80 à 90 % dès le début de la réadaptation professionnelle en septembre 2015, les experts admettent une capacité de travail complète d’octobre 2012 à avril 2016, puis de 70 % pour des motifs neurologiques.</w:t>
      </w:r>
    </w:p>
    <w:p>
      <w:r>
        <w:t>- 17 - Toutefois, l’expertise pluridisciplinaire a été réalisée au mois de mars 2021, soit plus de deux ans avant que la décision attaquée ne soit rendue le 11 septembre 2023. A cette époque, ladite expertise évoque la maladie de Behçet en constatant que le diagnostic de cette atteinte à la santé repose essentiellement sur l’aphtose bipolaire mais sans pouvoir exclure une origine médicamenteuse, due aux effets indésirables du Gilenya® administré comme traitement contre la sclérose en plaques. Les experts étaient alors dans l’impossibilité d’infirmer ou d’affirmer ce diagnostic, faute de disposer de données suffisantes ou d’examens cliniques après un changement de la médication. Lors de l’expertise, il a été proposé la mise sous Ocrevus®, traitement par injections pour la sclérose en plaques, qui n’a débuté qu’à partir du mois d’avril 2021. Par ailleurs, c’est uniquement dans les rapports établis après le rapport d’expertise et son complément que les médecins traitants ont annoncé une aggravation de l’état de santé de la recourante et qu’ils ont posé le diagnostic de la maladie de Behçet de manière plus marquée. Ainsi, au mois de septembre 2021, le Dr W.________ diagnostique la maladie de Behçet, de même que le Dr A._________ dans son rapport du 21 mars 2023. Certes, en septembre 2021, le Dr W.________ indique qu’il n’existe pas de limitation fonctionnelle en lien avec cette maladie, ce qui n’est toutefois plus le cas au mois de juillet 2023. Au jour de sa consultation, la Dre R.________ retient des restrictions fonctionnelles dans un travail fin ou de force avec les mains et un port de charges très limité à un kilo, en lien avec un phénomène inflammatoire. Le rapport d’IRM des mains en prieur du 20 mars 2023 a mis en évidence une importante atteinte inflammatoire de l’articulation carpo-métacarpienne du premier rayon à gauche et de l’articulation métacarpo-phalangienne du cinquième rayon à droite. Cette affection nouvelle, qui n’est pas mentionnée précédemment dans le rapport d’expertise, se traduit chez la recourante par une impossibilité de soulever des charges lourdes et une difficulté à l’écriture (cf. rapport du 28 mars 2023 du Dr S.________). Malgré ces restrictions fonctionnelles supplémentaires, la Dre R.________ est d’avis que la recourante conserve une capacité de travail dans une activité adaptée mais limitée à 50 % au maximum. Il n’en demeure pas moins que</w:t>
      </w:r>
    </w:p>
    <w:p>
      <w:r>
        <w:t>- 18 - les dernières limitations fonctionnelles évoquées par les médecins traitants n’ont pas été relevées dans le rapport d’expertise pluridisciplinaire au dossier. Il n’est dès lors pas possible d’exclure, et les rapports des médecins traitants produits ultérieurement à l’expertise font naître un doute, une évolution défavorable de la maladie de Behçet depuis la mise en œuvre de l’expertise datant début 2021. c) Compte tenu notamment du temps écoulé entre le rapport d’expertise pluridisciplinaire de l’Unité d’expertises médicales d’I._____________ du 23 mars 2021 ainsi que son complément et la décision attaquée du 11 septembre 2023 et au vu des rapports des médecins traitants versés au dossier dans l’intervalle, le SMR ne pouvait se passer de requérir un complément d’expertise, en soumettant le cas échéant les derniers renseignements médicaux récoltés aux experts afin de déterminer s’ils y voyaient une aggravation de l’état de santé de la recourante. d) Les phénomènes inflammatoires ont été constatés sur la base de l’IRM du 20 mars 2023 et des examens médicaux contemporains à cette dernière, si bien qu’ils n’étaient pas présents en 2020 comme l’avis médical SMR du 11 septembre 2023 le laisse penser. Au demeurant la symptomatologie inflammatoire touchant la recourante n’avait pas non plus été observée lors de l’expertise pluridisciplinaire réalisée au mois de mars 2021. Le point de vue du SMR ne s’avère par conséquent pas être convaincant.</w:t>
      </w:r>
    </w:p>
    <w:p>
      <w:r>
        <w:rPr>
          <w:b/>
        </w:rPr>
        <w:t>E. 7</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9C_259/2022 du 20 septembre 2022 consid. 5.1.1 et les références). Si elle estime que l’état de fait déterminant n’est pas suffisamment établi, ou qu’il existe des</w:t>
      </w:r>
    </w:p>
    <w:p>
      <w:r>
        <w:t>- 19 -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4ème éd., 2020, nos 17 et 29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Compte tenu de ce qui précède, il convient de constater que l’instruction présente des lacunes et les derniers rapports des médecins traitants font naître des interrogations quant à une éventuelle aggravation de l’état de santé de la recourante et ses conséquences sur sa capacité de travail, avant que la décision attaquée ne soit rendue mais après l’examen de la recourante par l’Unité d’expertises médicales d’I._____________. Non seulement il existe des éléments permettant de remettre en cause les conclusions du rapport d’expertise pluridisciplinaire du 23 mars 2021 et son complément datant de plus de deux ans au moment de la décision attaquée, ce qui est un délai trop important dans les maladies évoluant par poussées, mais encore l’avis SMR du mois de</w:t>
      </w:r>
    </w:p>
    <w:p>
      <w:r>
        <w:t>- 20 - septembre 2023 ne suffit pas à lever les doutes créés par les rapports établis en 2023 par les médecins traitants. En présence d’une appréciation lacunaire de la capacité de travail, laquelle relève de la compétence des médecins et non du juge dès lors qu’il n’appartient pas à ce dernier de se livrer à des conjectures qui relèvent strictement de la science médicale (TF 9C_573/2009 du 16 décembre 2009 consid. 2.3), il s’avère impossible, en l’état du dossier, d’apprécier les possibilités d’emploi de la recourante sur un marché équilibré du travail. Dans ces conditions, il s’impose d’annuler la décision entreprise et de renvoyer la cause à l’intimé pour instruction complémentaire. Il incombera à ce dernier de compléter l’instruction, cas échéant par le biais de la mise en œuvre d’une nouvelle expertise médicale de la recourante au sens de l’art. 44 LPGA, afin de disposer d’une appréciation médicale de l’état de santé global (somatique et psychique) et son évolution dans le temps. Une fois l’instruction complétée, il appartiendra à l’intimé de rendre une nouvelle décision. e) Vu l’issue du litige, en l’état la question d’un éventuel abattement maximal à opérer sur le revenu d’invalide retenu dans un second temps pour le calcul du taux d’invalidité de la recourante peut rester indécise.</w:t>
      </w:r>
    </w:p>
    <w:p>
      <w:r>
        <w:rPr>
          <w:b/>
        </w:rPr>
        <w:t>E. 8</w:t>
      </w:r>
    </w:p>
    <w:p>
      <w:r>
        <w:t>a) Sur le vu de ce qui précède, le recours doit être admis et la décision attaquée annulée, la cause étant renvoyée à l’OAI afin qu’il en complète l’instruction dans le sens des considérants puis rende une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600 fr. et de les mettre à charge de l'OAI, qui succombe.</w:t>
      </w:r>
    </w:p>
    <w:p>
      <w:r>
        <w:t>- 21 - c) La recourante obtient gain de cause et a droit à une indemnité de dépens à titre de participation aux honoraires de son conseil (art. 61 let. g LPGA). Il convient d’arrêter l’indemnité de dépens à 1’500 fr., débours et TVA compris (art. 10 et 11 TFJDA [tarif du 28 avril 2015 des frais judiciaires et des dépens en matière administrative ; BLV 173.36.5.1]), et de la mettre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