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ZD23.042981 vom 27. August 2024</w:t>
      </w:r>
    </w:p>
    <w:p>
      <w:r>
        <w:t>VD Tribunal cantonal, 2024-08-27, FR</w:t>
      </w:r>
    </w:p>
    <w:p>
      <w:r>
        <w:rPr>
          <w:b/>
        </w:rPr>
        <w:t xml:space="preserve">Quelle: </w:t>
      </w:r>
      <w:r>
        <w:t>https://mcp.opencaselaw.ch/entscheid/vd_gerichte_ZD23.042981</w:t>
      </w:r>
    </w:p>
    <w:p>
      <w:r>
        <w:t>FR: VD_GERICHTE ZD23.042981 du 27 août 2024</w:t>
      </w:r>
    </w:p>
    <w:p>
      <w:r>
        <w:t>IT: VD_GERICHTE ZD23.042981 del 27 agosto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- 10 -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- 11 -</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8C_152/2023 du 14 novembre 2023 consid. 5.1). c) S'agissant de la valeur probante des rapports médicaux, on rappellera toutefois que selon la jurisprudence, le tribunal peut accorder</w:t>
      </w:r>
    </w:p>
    <w:p>
      <w:r>
        <w:t>- 12 - une pleine valeur probante à une expertise mise en œuvre dans le cadre d'une procédure administrative au sens de l'art. 44 LPGA, aussi longtemps qu'aucun indice concret ne permet de douter de son bien-fondé (ATF 135 V 465 consid. 4.4;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TF 8C_409/2023 du 15 avril 2024 consid. 3.3 et les références citées).</w:t>
      </w:r>
    </w:p>
    <w:p>
      <w:r>
        <w:rPr>
          <w:b/>
        </w:rPr>
        <w:t>E. 7</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w:t>
      </w:r>
    </w:p>
    <w:p>
      <w:r>
        <w:rPr>
          <w:b/>
        </w:rPr>
        <w:t>E. 8</w:t>
      </w:r>
    </w:p>
    <w:p>
      <w:r>
        <w:t>a) En l’espèce, dans la décision attaquée, l’OAI a refusé l’octroi de ses prestations d’assurance, au motif qu’après avoir présenté une incapacité de travail totale dans toute activité depuis octobre 2020, au terme du délai d’attente légal d’un an, soit en octobre 2021, le recourant avait récupéré une capacité de travail entière dans une activité adaptée à ses limitations fonctionnelles, situation qui excluait le droit à la rente et à</w:t>
      </w:r>
    </w:p>
    <w:p>
      <w:r>
        <w:t>- 13 - des mesures professionnelles en sa faveur compte tenu d’un degré d’invalidité de 11,98 %. Cette décision se base principalement sur les conclusions du rapport de l’expertise pluridisciplinaire du 16 mars 2023 du B.________. b) Il ressort des écritures des médecins psychiatres qui suivent le recourant que sa situation, sur le plan psychiatrique, s’est détériorée de manière importante après qu’il a pris connaissance de la décision contestée de l’OAI. Il apparaît ainsi clairement que la situation médicale et factuelle décrite par ces médecins dans le cadre de la présente procédure est postérieure à dite décision. Partant, il n’y a pas lieu de tenir compte de ces éléments avec pour corollaire qu’il ne saurait être établi qu’ils ont eu une incidence sur la capacité de travail du recourant jusqu’à la date déterminante du 4 septembre 2023 (cf. consid. 7 supra). Il appartiendra à l’intéressé de déposer une nouvelle demande auprès de l’OAI en se prévalant d’une détérioration de son état de santé après cette date sur la base de l’avis de ses psychiatres traitants. c) Pour le reste, les conclusions du rapport de l’expertise pluridisciplinaire 16 mars 2023 du B.________ peuvent se voir reconnaître une pleine valeur probante. aa) Sur le plan de la médecine interne, le Dr T.________ a posé les diagnostics d’obésité modérée (BMI 30.8 kg/m2), de diabète de type 2 non insulino-dépendant, avec possible polyneuropathie des membres inférieurs, de syndrome des apnées obstructives du sommeil, d’hypertension artérielle traitée, de status après exérèse d’un ou plusieurs polypes coliques en 2012 et d’allergie à la pénicilline, étant d’avis que la capacité de travail du recourant a toujours été de 100 % dans toute activité. Lors de l’examen réalisé au B.________, l’intéressé présentait essentiellement une hypertension artérielle bien contrôlée par un traitement d’Enalapril® 20 mg et un diabète de type 2 non insulino- dépendant, pour lequel il n’y avait pas de nécessité d’effectuer des autocontrôles glycémiques en plus d’une prise de sang réalisée à une fréquence de trois mois avec un traitement de Jardiance® 5/1000 mg inchangé depuis plusieurs années. Le recourant a par ailleurs été suivi au</w:t>
      </w:r>
    </w:p>
    <w:p>
      <w:r>
        <w:t>- 14 - CHUV par une nutritionniste ; malgré l’échec de cette prise en charge, l’application des recommandations reçues a toutefois permis une perte de sept kilos en huit mois. La perte de poids est confirmée à la mesure du BMI de 30.8 kg/m2 (en comparaison avec un indice de 33.2 kg/m2 en octobre 2021). Pour le traitement du syndrome d’apnées obstructives du sommeil, un CPAP (Continuous Positive Airway Pressure) a été proposé mais abandonné après quinze jours en raison du bruit. Le score d’Epworth serait de 10 sur 21, l’assuré imputant sa fatigue diurne aux réveils nocturnes en raison des douleurs, aux difficultés d’endormissement ainsi qu’à la somnolence due à son traitement médicamenteux. L’asthme est bien traité par Relvar® 184/22 µg deux fois par jour avec la persistance d’une légère gêne respiratoire au terme de balades. Les valeurs tensionnelles sont bonnes. Les réflexes ostéotendineux sont abolis aux membres inférieurs avec hypoesthésie et paresthésie des pieds laissant suspecter une polyneuropathie diabétique, une autre origine étant peu probable, et nécessitant la réalisation d’un bilan étiologique et neurologique avec exploration électro-neuro-myographique. Au total, l’expert de la médecine interne retient uniquement des limitations fonctionnelles, à savoir pas d’exposition aux poussières (en raison de l’asthme) et un périmètre de marche limité non en terrain irrégulier (en raison de la probable neuropathie). Durant l’examen, l’assuré n’est ni majorant, ni démonstratif et ses plaintes apparaissent plausibles et cohérentes. Il signale uniquement ses ennuis de santé somatique mais n’évoque aucun problème psychique. bb) Sur le plan rhumatologique, le Dr M.________ a posé les diagnostics de lombalgies chroniques sur discrète protrusion médiane L4- L5, L5-S1 non compressive (arthrose inter-apophysaire postérieure L5-S1 gauche, non symptomatique dans un contexte de kinésiophobie majeure), de maladie de Dupuytren stade 0 des rayons 3 gauche, 4 droit et gauche ainsi que de possible neuropathie des membres inférieurs, motivant la réalisation d’un électro-neuro-myogramme. Selon l’expert, si la capacité de travail est nulle depuis la mise en arrêt en octobre 2020 dans toute activité, elle est toutefois recouvrée à 100 % depuis le 26 octobre 2021</w:t>
      </w:r>
    </w:p>
    <w:p>
      <w:r>
        <w:t>- 15 - (conformément à l’analyse du Dr S.________) dans une activité adaptée aux limitations fonctionnelles liées aux lombalgies chroniques, à savoir les efforts de soulèvement excédant dix kilos, les efforts soutenus ou répétés en antéflexion ou en torsion du rachis, ainsi que les activités sur ou avec objets vibrants. Il observe que les diverses thérapies, en particulier au Département de l’appareil locomoteur du CHUV, n’ont pas apporté de résultat ; malgré sa mise en arrêt de travail sans discontinuer depuis le 28 octobre 2020, le recourant présente des plaintes subjectives inchangées avec une gêne quotidienne. L’appréciation clinique s’avère très difficile au vu de la recherche de la mobilité rachidienne quasiment impossible. Le constat de réflexes ostéotendineux abolis aux membres inférieurs par l’expert rhumatologue confirme la nécessité d’une exploration électro- neuro-myographique complémentaire préconisée par son confrère de la médecine interne. La mobilité des hanches est normale avec uniquement des douleurs qui gênent l’appréciation. Enfin, il est observé une maladie de Dupuytren débutante du troisième rayon gauche et des quatrièmes rayons des deux côtés dont l’expert souligne qu’il s’agit d’une pathologie assez courante chez les diabétiques. Malgré ses plaintes, l’assuré dont les lésions neuroradiologiques sont modérées conserve une activité quotidienne quasi normale, uniquement limitée par son illettrisme. Selon l’expert, la thérapeutique instaurée est conforme aux règles de l’art avec une amélioration de la symptomatologie peu probable compte tenu de la longue période d’inactivité professionnelle, malgré des lésions neuroradiologiques très discrètes à la limite de la significativité au vu de l’âge de l’intéressé. cc) Sur le plan psychiatrique, la Dre W.________ a uniquement diagnostiqué un trouble de l’adaptation avec réaction dépressive prolongée (F43.21), évoluant depuis 2020 à l’origine de troubles anxio- dépressifs légers, non incapacitants, en rémission partielle. Dans ce contexte, elle est d’avis que la capacité de travail du recourant a toujours été totale dans sa profession habituelle de maçon qui est une activité adaptée. On rappellera tout d’abord qu’en ce qui concerne le trouble de l'adaptation, cette atteinte à la santé sur le plan psychique n'est en</w:t>
      </w:r>
    </w:p>
    <w:p>
      <w:r>
        <w:t>- 16 - principe pas considérée comme une maladie de longue durée et donc potentiellement invalidante (TF 9C_465/2022 du 1er mars 2023 consid. 5.3 et les références). Un trouble de l'adaptation dure rarement plus de six mois (TF 9C_436/2022 du 26 janvier 2023 consid. 3.2.1).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être relevant pour l’octroi d’une rente de l’assurance-invalidité (TF 9C_408/2023 du 23 avril 2024 consid. 5.2 et les références). Dans ce contexte, il convient de s’assurer que l’experte psychiatre a dégagé une appréciation concluante de la capacité de travail du recourant à la lumière des indicateurs déterminants selon la jurisprudence fédérale en matière de troubles psychiatriques (cf. consid. 5 supra et les références citées). L’experte W.________ pose son diagnostic en référence à la Classification statistique internationale des maladies et des problèmes de santé connexes (CIM-10), prend en compte la personnalité du recourant d’un niveau intellectuel infraliminaire et note l’absence d’antécédents psychiques avant 2020 lors de l’apparition des lombalgies causant des arrêts de travail dans sa profession de maçon. A ce moment, l’intéressé a seulement eu des pensées suicidaires mais sans tentative de passage à l’acte. C’est à la suite de la survenue de ces pensées suicidaires non scénarisées qu’il consulte le Dr V.________ à deux reprises, puis qu’il est suivi par le Dr F.________ et une psychologue après son déménagement auprès de son fils vivant à [...]. De son côté, l’experte rapporte un examen clinique assez pauvre qui ne lui permet pas de confirmer le diagnostic d’un épisode dépressif initialement sévère, puis de niveau moyen (F32.1) depuis 2022 ayant une incidence sur la capacité de travail. Elle observe que la symptomatologie initiale s’est améliorée depuis la prise en charge psychothérapeutique dont le traitement par Trittico® et Lexotanil®</w:t>
      </w:r>
    </w:p>
    <w:p>
      <w:r>
        <w:t>- 17 - prescrit depuis deux ans est adapté, mais qui est potentiellement trop sédatif et peut participer au déficit de proactivité. Etant d’avis qu’une guérison complète du trouble de l’adaptation diagnostiqué n’est pas exclue, l’experte est favorable à des mesures de réadaptation adaptées aux capacités d’apprentissage essentiellement manuelles de l’assuré qui ne sait ni lire ni écrire. Malgré des ressources relativement faibles, compte tenu de son bas niveau intellectuel, il a toujours travaillé dans une activité manuelle ne requérant pas de ressources intellectuelles ou de capacité d’apprentissage importantes, et ceci dans un milieu lusophone. Sur la base de ses propres constatations cliniques, l’experte retient d’assez bonnes capacités de communication, de verbalisation et d’adaptation au cadre expertal. L’assuré n’est pas autonome dans les déplacements faute de posséder le permis de conduire et de savoir utiliser les transports en commun. Il présente en outre des difficultés anciennes de jugement, d’évaluation, de prise de décision et de résolution de problèmes. Ses compétences professionnelles et d’apprentissage sont réduites mais il est encore motivé au changement, même s’il est peu proactif. L’experte a en outre décrit le soutien dont il bénéficie essentiellement par son fils (qui se charge des courses et de l’administratif) et par son épouse. L’experte psychiatre livre en définitive une appréciation pondérée et convaincante de la situation du recourant qui, malgré ses faibles ressources au regard du niveau intellectuel limité, bénéfice de moyens suffisamment préservés pour lui permettre de surmonter les déficits causés par son atteinte à la santé psychique, sans en subir une diminution de sa capacité de travail. Cette analyse est corroborée par le recourant selon lequel le traitement l’aide en sorte qu’il pense parfois au suicide mais moins qu’auparavant, et ne formule pas d’autres plaintes sur le plan psychique ; il est essentiellement empêché de travailler par ses problèmes somatiques. L’experte observe que ce dernier ne s’est effectivement pas plaint spontanément de problèmes psychiques auprès de ses confrères somaticiens (cf. rapport d’expertise, volet psychiatrique, p. 9). C’est dès lors de manière justifiée et convaincante que l’experte psychiatre retient, sur la base de son examen clinique et du dossier médical mis à sa disposition, une pleine exigibilité dans l’activité habituelle de maçon qui est adaptée à l’état de santé psychique du recourant depuis toujours.</w:t>
      </w:r>
    </w:p>
    <w:p>
      <w:r>
        <w:t>- 18 - dd) Pour le reste, il y a lieu de constater que le rapport de l’expertise pluridisciplinaire 16 mars 2023 du B.________ satisfait aux réquisits jurisprudentiels pour se voir reconnaître une entière valeur probante. Ce rapport est en effet le fruit d’une analyse circonstanciée du cas, comporte des anamnèses détaillées et décrit les contextes déterminants pour chacune des trois disciplines médicales étudiées. Reposant sur des investigations fouillées, il est le résultat d’une appréciation consensuelle et claire de la situation, fondée sur des examens spécialisés réalisés dans les règles de l’art. Il aboutit à des conclusions médicales soigneusement motivées, exemptes de contradictions et permettant une appréciation globale de la capacité de travail du recourant et de ses limitations fonctionnelles. d) A l’aune de ce qui précède, il est établi qu’au terme du délai d’attente légal d’un an, soit en octobre 2021, si le recourant n’était plus en mesure de poursuivre son activité habituelle de maçon, il présentait toutefois une capacité de travail totale dans une activité adaptée aux limitations fonctionnelles retenues par les experts du B.________. A ce stade, il sied encore d’éprouver le degré d’invalidité du recourant tel que calculé par l’OAI dans la décision litigieuse afin de savoir si l’intéressé est en droit de prétendre à une rente.</w:t>
      </w:r>
    </w:p>
    <w:p>
      <w:r>
        <w:rPr>
          <w:b/>
        </w:rPr>
        <w:t>E. 9</w:t>
      </w:r>
    </w:p>
    <w:p>
      <w:r>
        <w:t>a) Selon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w:t>
      </w:r>
    </w:p>
    <w:p>
      <w:r>
        <w:t>- 19 -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139 V 592 consid. 2.3 ; 129 V 222 consid. 4.3.1). c)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du droit des assurances sociales, Commentaire romand, Bâle 2018, nos 25 et 33 ad art. 16 LPGA). d) La personne assurée peut, selon sa situation personnelle, voir ses perspectives salariales être réduites par des facteurs tels que l’âge,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consid. 5b).</w:t>
      </w:r>
    </w:p>
    <w:p>
      <w:r>
        <w:t>- 20 -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du 21 mai 2024 consid. 5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La notion de marché équilibré du travail est une notion théorique et abstraite qui sert de critère de distinction entre les cas tombant sous le coup de l’assurance-chômage et ceux qui relèvent de</w:t>
      </w:r>
    </w:p>
    <w:p>
      <w:r>
        <w:t>- 21 -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Il ne s’agit ainsi pas d’apprécier si un employeur est effectivement disposé à confier un travail au recourant, mais uniquement d’apprécier si, compte tenu de son état de santé, ce dernier est à même d’exercer une activité déterminée (MICHEL VALTERIO, Commentaire de la Loi fédérale sur l’assurance-invalidité [LAI], Genève/Zurich/Bâle 2018, n. 65 ad art. 28a LAI). f) En l’espèce, l’OAI a retenu un revenu avec invalidité de 65'683 fr. 48 en se fondant sur les revenus statistiques ressortant de l’ESS. Le recourant ne soutient pas que ce montant serait erroné, de sorte qu’il ne sera pas examiné plus avant. Le recourant estime cependant qu’il serait irréaliste qu’il retrouve un emploi en raison de son âge, de son absence de formation, de son analphabétisme et du fait qu’il ne maîtrise pas le français. Son argumentation doit être rejetée. D’abord, le recourant était âgé de 53 ans au moment de l’expertise et lorsque l’intimé a rendu sa décision, si bien que la jurisprudence relative aux assurés proches de l’âge de la retraite n’entre pas en ligne de compte (cf. ATF 138 V 457 consid. 3.1 et 3.3 ; TF 9C_195/2019 du 11 juin 2019 consid. 5.3.2 et 9C_638/2018 du 7 février 2019 consid. 4.2). Ensuite, il convient de rappeler que les restrictions fonctionnelles présentées par le recourant sont « les efforts de soulèvement excédant dix kilos, les efforts soutenus ou répétés en antéflexion ou en torsion du rachis, ainsi que les activités sur ou avec des objets vibrants, pas d’exposition aux poussières, périmètre de marche limité, et pas de déplacement en terrain irrégulier ». A la lumière des activités physiques ou manuelles simples que recouvrent les secteurs de la production et des services (ESS 2020, tableau TA1_skill_level, niveau de</w:t>
      </w:r>
    </w:p>
    <w:p>
      <w:r>
        <w:t>- 22 - compétence 1), un nombre suffisant d’entre elles correspondent aux compétences de l’intéressé et à ses limitations fonctionnelles. Une déduction supplémentaire sur le salaire statistique ne se justifie donc pas pour tenir compte des circonstances liées au handicap. En effet, un abattement n’entre en considération que si, sur un marché du travail équilibré, il n’y a plus un éventail suffisamment large d’activité accessibles à l’assuré (TF 8C_580/2022 du 31 mars 2023 consid. 3.2.4 et la référence), ce qui n’est pas le cas du recourant. En outre, l’absence de formation et d’expérience ne joue pas de rôle lorsque le revenu est déterminé, comme en l’espèce, en référence à une catégorie d’emplois ne nécessitant ni formation ni expérience professionnelle spécifique (TF 8C_559/2022 du 21 mars 2023 consid. 4.2.3 ; 8C_122/2019 du 10 septembre 2019 consid. 4.3.2 et la référence citée). Pour être complet, on ajoutera que tout nouveau travail va de pair avec une période d'apprentissage, si bien qu’il n’y a pas lieu d'effectuer non plus un abattement à ce titre (TF 9C_465/2021 du 10 décembre 2021 consid. 5 ; 8C_103/2018 du 25 juillet 2018 consid. 5.2 ; 9C_200/2017 du 14 novembre 2017 consid. 4.5). Par ailleurs, il convient de relever que depuis sa venue en Suisse en 2003, le recourant a été en mesure de travailler malgré son absence de formation et ses difficultés linguistiques. Il importe encore de préciser que la situation financière précaire du recourant telle que mise en évidence par les psychiatres traitants, ne peut pas être considérée comme un critère d'abattement, étant rappelé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Ainsi, il n’y a pas de motif à déduire un abattement au revenu avec invalidité calculé par l’intimé. g) Conformément à l’art. 16 LPGA, la comparaison entre un revenu sans invalidité de 74'620 fr., ressortant du questionnaire rempli le</w:t>
      </w:r>
    </w:p>
    <w:p>
      <w:r>
        <w:t>- 23 - 1er avril 2021 par A._________ SA, et avec invalidité de 65'683 fr. 48 révèle une perte de gain de 8'936 fr. 52 qui correspond à un degré d’invalidité de 11,98 % ([8'936 fr. 52 / 74'620 fr.] x 100), arrondi à 12 % (cf. ATF 130 V 121), taux qui s’avère inférieur au seuil de 40 % pour ouvrir le droit à une rente d’invalidité (cf. art. 28 al. 2 LAI).</w:t>
      </w:r>
    </w:p>
    <w:p>
      <w:r>
        <w:rPr>
          <w:b/>
        </w:rPr>
        <w:t>E. 10</w:t>
      </w:r>
    </w:p>
    <w:p>
      <w:r>
        <w:t>a) En définitive, le recours doit être rejeté et la décision entreprise confirmée. b) La procédure de recours en matière de contestations portant sur des prestations de l’assurance-invalidité est soumise à des frais de justice (art. 69 al. 1bis LAI). Il convient de les fixer à 600 fr. et de les mettre en principe à la charge du recourant, vu le sort de ses conclusions. c) Il n’y a pas lieu d’allouer de dépens au recourant,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