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ZD23.042089 vom 7. November 2024</w:t>
      </w:r>
    </w:p>
    <w:p>
      <w:r>
        <w:t>VD Tribunal cantonal, 2024-11-07, FR</w:t>
      </w:r>
    </w:p>
    <w:p>
      <w:r>
        <w:rPr>
          <w:b/>
        </w:rPr>
        <w:t xml:space="preserve">Quelle: </w:t>
      </w:r>
      <w:r>
        <w:t>https://mcp.opencaselaw.ch/entscheid/vd_gerichte_ZD23.042089</w:t>
      </w:r>
    </w:p>
    <w:p>
      <w:r>
        <w:t>FR: VD_GERICHTE ZD23.042089 du 7 novembre 2024</w:t>
      </w:r>
    </w:p>
    <w:p>
      <w:r>
        <w:t>IT: VD_GERICHTE ZD23.042089 del 7 novembre 2024</w:t>
      </w:r>
    </w:p>
    <w:p>
      <w:pPr>
        <w:pStyle w:val="Heading2"/>
      </w:pPr>
      <w:r>
        <w:t>Erwägungen</w:t>
      </w:r>
    </w:p>
    <w:p>
      <w:r>
        <w:rPr>
          <w:b/>
        </w:rPr>
        <w:t>E. 50</w:t>
      </w:r>
    </w:p>
    <w:p>
      <w:r>
        <w:t>% dans une activité adaptée à son état psychique, précisant que l’assuré avait été au bénéfice d’un arrêt de travail à 100 % du 5 au 30 juin 2023. Les Dr D.________ et P.________ ont retenu les limitations fonctionnelles suivantes sur le plan psychique : hypersensibilité au stress, irritabilité très marquée causant des difficultés relationnelles, fatigue, apparition périodique d’aggravation de l’état psychique avec symptômes dépressifs. Ils ont préconisé la poursuite du suivi psychothérapeutique,</w:t>
      </w:r>
    </w:p>
    <w:p>
      <w:r>
        <w:t>- 18 - bien investi par le recourant. Au niveau médicamenteux, plusieurs ajustements avaient été nécessaires en raison d’effets secondaires subis par leur patient. Il était selon eux toujours envisageable de modifier le traitement, mais au vu des molécules déjà testées, il était peu probable que la médication amène une amélioration majeure, la psychothérapie restant centrale dans la prise en charge du recourant. S’agissant du pronostic, ces médecins ont indiqué que les troubles somatiques persistants engendrant des douleurs chroniques, les limitations fonctionnelles somatiques, la situation financière difficile et les problèmes de santé chroniques des deux enfants aînés constituaient des facteurs négatifs concernant l’évolution de l’état psychique du recourant. L’intimé a à nouveau confirmé ses conclusions par courrier du 4 mars 2024, auquel étaient annexés des avis médicaux du SMR des 9 et 19 février 2024. Dans son avis du 9 février 2024, le Dr T.________ a considéré que les douleurs lombaires décrites par le Dr X.________ en décembre 2019 ne pouvaient pas être considérées comme durablement incapacitantes, en l’absence de toute description clinique, d’imagerie ou de limitations fonctionnelles et faute d’indication d’une consultation spécialisée ou d’examens complémentaires concernant cette atteinte. De même, les trois rendez-vous médicaux de 2020 ne traduisaient pas une démarche active de soins, reflétant l’absence de pathologie incapacitante. Dans son avis du 19 février 2024, le Dr T.________ a déclaré que les symptômes décrits par les médecins du H.________ rendaient l’affection diagnostiquée plausible, mais a émis les réserves suivantes : d’une part, la prise en compte importante des facteurs psycho-sociaux (c’est-à-dire la charge mentale secondaire à la situation familiale) dans la fixation de la capacité de travail dans une activité adaptée, d’autre part, le fait que les médecins de la F.________, lors du second séjour du recourant, avaient relevé un moral abaissé en lien avec le contexte familial mais n’avaient retenu aucune psychopathologie, conseillant simplement la mise en place d’un suivi. Ce médecin a dès lors estimé qu’il n’était pas possible de retenir l’existence d’une psychopathologie au début de l’année 2020. De même, il a souligné que s’il résultait des examens cliniques de la Dre B.________ d’octobre 2022 et février 2023 que le recourant était en</w:t>
      </w:r>
    </w:p>
    <w:p>
      <w:r>
        <w:t>- 19 - souffrance par rapport à sa situation personnelle et familiale, cela était insuffisant pour retenir un diagnostic d’état dépressif moyen à sévère et incapacitant. Le recourant s’est déterminé le 18 mars 2024.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la partie recourante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w:t>
      </w:r>
    </w:p>
    <w:p>
      <w:r>
        <w:t>- 20 - b) En l’espèce, l’intimé a octroyé au recourant deux rentes entières d’invalidité limitées dans le temps, pour les périodes du 1er juin 2019 au 29 février 2020 et du 1er avril 2021 au 28 février 2023. Ainsi, bien que l’ensemble des périodes concernées par cette décision ne soient pas remises en cause dans le cadre de la procédure de recours, il reviendra à la Cour de céans d’examiner le droit à la rente du recourant pour chacune d’entre elles. 3.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b) En l’absence de disposition transitoire spéciale, ce sont les principes généraux de droit intertemporel qui prévalent, à savoir l’application du droit en vigueur lorsque les faits déterminants se sont produits (ATF 148 V 21 consid. 5.3). Lors de l’examen d’une demande d’octroi d’une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c) En l’occurrence, les décisions entreprises sont datées du 6 septembre 2023. Elles portent sur une nouvelle demande déposée par le recourant le 14 décembre 2018, en raison de l’aggravation alléguée de son état de santé depuis la précédente décision rendue par l’OAI le 10 mars 2015. Les éléments déterminants de l’état de fait sont pour la plupart antérieurs au 1er janvier 2022, de même que le début du droit aux deux rentes limitées dans le temps octroyées au recourant du 1er juin</w:t>
      </w:r>
    </w:p>
    <w:p>
      <w:r>
        <w:t>- 21 - 2019 au 28 février 2020, puis du 1er avril 2021 au 28 février 2023. Il convient dès lors d’appliquer l’ancien droit.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aa)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w:t>
      </w:r>
    </w:p>
    <w:p>
      <w:r>
        <w:t>- 22 -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si le taux d’invalidité du bénéficiaire de la rente subit une modification notable, la rente est, d’office ou sur demande, révisée pour l’avenir, à savoir augmentée ou réduite en conséquence, ou encore supprimée. bb) L'art. 17 LPGA s'applique également à la décision par laquelle une rente échelonnée dans le temps est accordée avec effet rétroactif, la date de la modification étant déterminée conformément à l'art. 88a RAI (ATF 131 V 164 consid. 2.2 ; 125 V 413 consid. 2d). L’art. 88bis RAI n'est en revanche pas applicable dans cette éventualité, du moment que l'on ne se trouve pas en présence d'une révision de la rente au sens strict (ATF 125 V 413 consid. 2d ; TF 9C_900/2013 du 8 avril 2014 consid. 6.2 et les références). Aux termes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Conformément à l’art. 88a al. 2 RAI, si la capacité de gain de l’assuré ou sa capacité d’accomplir les travaux habituels se dégrade, ce</w:t>
      </w:r>
    </w:p>
    <w:p>
      <w:r>
        <w:t>- 23 - changement est déterminant pour l’accroissement du droit aux prestations dès qu’il a duré trois mois sans interruption notable. L’art. 29bis RAI est toutefois applicable par analogie. Selon cette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celle qui a précédé le premier octroi.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w:t>
      </w:r>
    </w:p>
    <w:p>
      <w:r>
        <w:t>- 24 - preuve, ni sa désignation comme rapport ou comme expertise, mais bel et bien son contenu (ATF 134 V 231 consid. 5.1 ; 125 V 351 consid. 3a ; TF 9C_115/2018 du 5 juillet 2018 consid. 4.1 et les références citées).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w:t>
      </w:r>
    </w:p>
    <w:p>
      <w:r>
        <w:t>- 25 -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aa)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w:t>
      </w:r>
    </w:p>
    <w:p>
      <w:r>
        <w:t>- 26 - bb) Il résulte de ce qui précède que les rapports médicaux produits par le recourant et les avis du SMR produits par l’intimé dans le cadre de la procédure de recours doivent être pris en compte, dans la mesure où ils ont tous trait à la situation médicale du recourant antérieure à la date de la reddition de la décision litigieuse. 6.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7. a) Sur le plan somatique, l’accident dont a été victime le recourant en juin 2018 a entraîné une fracture du calcanéum gauche et du radius distal droit. Il résulte en outre de deux rapports médicaux du médecin généraliste du recourant qu’il aurait souffert de lombalgies en fin d’année 2019 et dans le courant de l’année 2020. aa) Concernant les lombalgies, il sied de rappeler que l’office intimé a rendu une première décision le 10 mars 2015, par laquelle il a nié le droit du recourant à une rente d’invalidité, au motif que l’hernie discale L4-L5 dont il souffrait lui permettait de conserver une entière capacité de travail dans une activité adaptée. Or, les rapports du Dr X.________ des 15 mai et 20 octobre 2023 ne permettent pas d’admettre que l’état des lombaires du recourant aurait depuis lors évolué dans une mesure de nature à modifier son degré d’invalidité et, partant, son droit à une rente. D’une part, ces rapports médicaux font succinctement état d’une surcharge de la colonne lombaire et de douleurs invalidantes, sans autres précisions. D’autre part, il n’en</w:t>
      </w:r>
    </w:p>
    <w:p>
      <w:r>
        <w:t>- 27 - résulte pas qu’un traitement ou une consultation auprès d’un spécialiste auraient été prescrits. En outre, aucun autre médecin traitant du recourant n’a mentionné que celui-ci aurait rapporté des douleurs au niveau des lombaires depuis l’accident de juin 2018. bb) La fracture du poignet droit a été traitée conservativement avec succès, sa prise en charge s’étant terminée à l’issue d’une consultation du 3 décembre 2018 auprès de la Dre Y.________. Cette lésion a toutefois entraîné les limitations fonctionnelles suivantes, fixées par la Dre B.________ dans son rapport du 28 février 2023 : absence de sollicitation répétée du poignet et d’activité en force. cc) En raison de la fracture du calcanéum gauche, le recourant a dû subir une réduction ouverte et une ostéosynthèse par plaques et vis le 19 juin 2018. Après cette chirurgie, il présentait encore de vives douleurs malgré les séances de physiothérapie prescrites, de sorte que la prise en charge de cette atteinte s’est poursuivie. En sus du traitement physiothérapeutique, le recourant s’est soumis à une injection de cortisone le 3 janvier 2019, puis a subi une ablation du matériel d’ostéosynthèse le 8 mars 2019. Cette dernière intervention a permis d’améliorer les amplitudes de la cheville et de l’articulation sous-talienne, mais les douleurs persistaient et nécessitaient encore l’utilisation de béquilles pour les déplacements (cf. notes de consultation du Dr G.________ du 17 décembre 2018 ; rapport médical du Dr G.________ du 6 février 2019 ; notes de consultation du Dr G.________ du 29 avril 2019). Un séjour de rééducation intensive auprès de la F.________ au mois de juillet 2019 n’a pas non plus permis de réduire les douleurs. Celles-ci restaient invalidantes et intolérables à la marche sans l’aide d’une canne (cf. notes de consultation du Dr G.________ du 28 août 2019). Au vu de ce qui précède, il n’est pas contestable ni au demeurant contesté que le recourant a subi une nouvelle atteinte durable à sa santé somatique depuis la décision du 10 mars 2015, qui justifiait la</w:t>
      </w:r>
    </w:p>
    <w:p>
      <w:r>
        <w:t>- 28 - reconnaissance d’une incapacité de travail totale dès le mois de juin 2018, le délai d’attente d’une année échéant au mois de juin 2019 (cf. art. 28 al. 1 LAI ; consid. 4.b ci-dessus). b) Par la suite, au mois de novembre 2019, le Dr G.________ a pour la première fois constaté une amélioration de la situation de son patient grâce à la physiothérapie. Les amplitudes étaient bonnes et le recourant présentait moins de douleurs à la charge. Il avait en outre abandonné l’utilisation de la canne pour se déplacer. Ce médecin a ainsi estimé que la reprise d’une activité adaptée était envisageable sans délai à un taux compris entre 80 % et 100 %, à condition que les limitations fonctionnelles suivantes soient respectées : pas de position debout, pas de marche et pas de port de charges (cf. rapport médical du Dr G.________ du 5 novembre 2019 et notes de consultation du 13 novembre 2019). Le médecin généraliste du recourant a une appréciation différente de la situation. Le Dr X.________ estime en effet qu’en fin d’année 2019 et durant l’année 2020, son patient était en incapacité totale de travailler, dans quelque activité que ce soit, notamment en raison de très fortes douleurs liées à la fracture du calcanéum gauche, intenses à la mobilisation active et passive et présentes de manière significative au repos (cf. rapports médicaux du Dr X.________ des 15 mai et 20 octobre 2023). Il est constant que de fortes douleurs à la cheville gauche ont été observées par d’autres médecins et il n’est pas nié qu’elles étaient encore présentes lorsque le Dr G.________ a constaté une amélioration de la situation en novembre 2019. Il est cependant établi qu’à cette période, le recourant a enfin pu se dispenser de la canne pour ses déplacements. L’intensité des douleurs avait dès lors assez diminué pour qu’il puisse se mouvoir sans moyen auxiliaire après de longs mois d’utilisation. La mobilité de l’articulation s’était également améliorée. En outre, tant le Dr G.________, que les médecins de la F.________ ont indiqué que malgré les douleurs encore présentes, une activité adaptée restait possible (cf.</w:t>
      </w:r>
    </w:p>
    <w:p>
      <w:r>
        <w:t>- 29 - rapport médial du Dr G.________ du 5 novembre 2019 et notes de consultation du 13 novembre 2019 ; rapport médical des Drs Z.________ et J.________ du 9 septembre 2019). Les conclusions du Dr X.________ ne sauraient ainsi remettre en cause les avis concordants de deux spécialistes et d’un troisième médecin, étant pour le surplus souligné que de l’aveu même du Dr X.________, cette question n’avait pas été abordée de manière détaillée avec son patient compte tenu du suivi spécialisé mis en place auprès du Q.________. En conséquence, l’intimé était fondé à suivre les conclusions du Dr G.________ et à retenir qu’en raison de l’atteinte au calcanéum, la capacité de travail du recourant dans toute activité a été nulle du 4 juin 2018 au 4 novembre 2019, puis qu’elle s’est élevée à 90 % dans une activité adaptée dès le 5 novembre 2019, ce qui n’est au demeurant pas contesté par le recourant. c) Afin de diminuer encore l’intensité des douleurs, le Dr G.________ a émis l’idée d’effectuer une arthrodèse lors d’une consultation du mois de janvier 2020. Il a adressé son patient à la Dre N.________ afin d’obtenir un second avis médical, laquelle s’est déclarée favorable à la réalisation de cette intervention. Après réflexion, le recourant a finalement accepté cette chirurgie au mois de décembre 2020. L’arthrodèse a été pratiquée le 16 avril 2021 par les Drs N.________ et C.________. En octobre 2021, en présence d’une amélioration post-opératoire stagnante, la Dre N.________ a recommandé un nouveau séjour à la F.________. À l’issue de son hospitalisation dans cette clinique du 30 novembre au 22 décembre 2021, la situation du recourant était pratiquement stabilisée du point de vue médical. Dans leur rapport du 7 janvier 2022, les médecins de la F.________ ont indiqué que la poursuite de la physiothérapie pouvait encore améliorer quelque peu la mobilité articulaire et la musculature, ainsi que les douleurs.</w:t>
      </w:r>
    </w:p>
    <w:p>
      <w:r>
        <w:t>- 30 - Toujours en vue de diminuer les douleurs, le recourant a encore subi une ablation du matériel d’ostéosynthèse le 10 mai 2022, laquelle n’a pas eu l’effet escompté. Les Dres N.________ et V.________ ont recommandé une reconversion professionnelle dans leur rapport du 21 juillet 2022. Répondant aux questions de l’intimé par rapport médical du 2 novembre 2022, la Dre V.________ a indiqué que la situation médicale était stabilisée mais que la question de l’évolution de la capacité de travail dans une activité adaptée devait être examinée par un médecin du travail, recommandant toutefois la pratique d’une profession sédentaire ne sollicitant pas les membres inférieurs. Au vu de ce qui précède, l’intimé doit être suivi dans son raisonnement lorsqu’il a considéré que la santé physique du recourant s’était à nouveau durablement aggravée dès le 16 avril 2021, date de l’arthrodèse subie ayant entraîné une longue convalescence et n’ayant pas eu les effets escomptés. d) La Dre B.________, médecin d’assurance ayant reçu le recourant en vue d’un examen médical sur requête de la CNA les 4 octobre 2022 et 28 février 2023, a confirmé l’avis de la Dre V.________ du 2 novembre 2022, selon lequel la situation médicale était stabilisée. Elle s’est prononcée sur la capacité de travail du recourant qui, selon elle, était entière dans une activité adaptée et a fixé les mêmes limitations fonctionnelles que celles retenues par les médecins de la F.________ dans leur rapport du 7 janvier 2022 : pas de port de charges répétitif ou prolongé de plus de dix kilogrammes, pas de marche en terrain irrégulier, ni de marche prolongée ou répétée, pas de position accroupie ou à genoux, pas de position statique debout, pas d’utilisation d’escaliers ni d’échelles, ni de travail sur des toits. L’intimé était par conséquent fondé à retenir que le recourant avait recouvré une pleine capacité de travail dans une activité adaptée dès le 3 novembre 2022.</w:t>
      </w:r>
    </w:p>
    <w:p>
      <w:r>
        <w:t>- 31 - e) Au vu de ce qui précède, l’intimé a retenu à juste titre que la santé physique du recourant s’était aggravée du 4 juin 2018 (date de l’événement accidentel) au 5 novembre 2019 (date de l’amélioration constatée par le Dr G.________ dans son rapport du même jour), pour à nouveau se dégrader pendant la période du 16 avril 2021 (date de l’arthrodèse) au 2 novembre 2022 (date de la stabilisation médicale arrêtée par les Dres V.________ et B.________). 8. a) Sur le plan psychiatrique, le recourant fait valoir qu’il souffrirait d’une pathologie justifiant l’octroi d’une rente d’invalidité. L’intimé considère pour sa part qu’aucun élément ne permettrait de retenir l’existence d’une maladie psychique. b) Dans leur rapport médical du 9 septembre 2019 établi à l’issue du premier séjour du recourant auprès de la F.________, les médecins de cette clinique ont rapporté que celui-ci se sous-estimait, était anxieux et centré sur ses douleurs. Le recourant lui-même a également fait état d’une dépression dans un questionnaire complété à l’attention de l’office intimé le 15 avril 2021. Puis, dans leur rapport du 7 janvier 2022, les médecins de la F.________ ont mentionné un moral abaissé, ainsi qu’une symptomatologie anxieuse et dépressive les ayant amenés à recommander la mise en place d’un suivi psychologique. Le rapport établi par la Dre B.________ le 4 octobre 2022 renseigne également sur la santé psychique du recourant. Lors de l’entretien du même jour avec cette médecin, ce dernier s’est effondré en pleurs lorsqu’il a été questionné au sujet de sa famille, sans qu’il n’ait pu se reprendre. L’examen a dû être interrompu et reporté. Le recourant avait toutefois eu le temps d’informer la médecin d’assurance concernant son suivi psychologique et sa médication : il prenait de l’Escitalopram et du Zoldorm et bénéficiait d’un suivi psychologique hebdomadaire. Par la suite, dans le cadre de sa contestation à l’encontre du projet de décision de l’office intimé du 17 avril 2023, le recourant a produit un rapport médical de son médecin généraliste, duquel il ressort qu’il</w:t>
      </w:r>
    </w:p>
    <w:p>
      <w:r>
        <w:t>- 32 - souffre d’un trouble dépressif modéré à sévère réactionnel à son état de santé ainsi qu’à une situation socio-familiale extrêmement compliquée (cf. rapport du Dr X.________ du 15 mai 2023). Il résulte enfin du rapport médical des Drs D.________ et P.________ du 2 février 2024 que leur patient souffre d’un épisode dépressif moyen à sévère et qu’il a consulté le H.________ la première fois le 15 mars 2022, soit dix-huit mois avant la décision dont est recours. Il est précisé qu’il avait consulté auparavant une psychologue qui lui avait conseillé la mise en place urgente d’un suivi psychiatrique et psychologique. Ces médecins ont estimé que les troubles avaient commencé à apparaître quelques temps après l’accident de juin 2018. Ils ont considéré que l’incapacité de travail du recourant était de 50 %, la capacité résiduelle pouvant être utilisée dans une activité adaptée à son état psychique. Les limitations fonctionnelles retenues étaient les suivantes : hypersensibilité au stress, irritabilité très marquée causant des difficultés relationnelles, fatigue, apparition période d’aggravation de l’état psychique avec symptômes dépressifs. Ils ont attesté une incapacité de travail à 100 % du 5 au 30 juin 2023. Ainsi, tant les médecins de la F.________ que le médecin généraliste du recourant ont fait état d’une symptomatologie dépressive, et non d’une simple baisse de moral, contrairement à ce qu’a retenu le SMR, suivi par l’OAI. L’intimé avait également connaissance de la médication antidépressive prise par le recourant et du suivi psychologique hebdomadaire mis en place. Le diagnostic d’épisode dépressif moyen à sévère a en outre été confirmé par les médecins en charge du suivi psychiatrique du recourant, lequel a même bénéficié d’un arrêt de travail complet de quatre semaines en juin 2023. Compte tenu de ces éléments, la Cour de céans constate que l’intimé s’est focalisé sur l’instruction menée par la CNA, sans toutefois procéder à une quelconque instruction sur le plan psychiatrique, élément qui n’avait pas à être investigué par la CNA, respectivement par la F.________, faute de lien de causalité adéquate entre l’accident du 4 juin</w:t>
      </w:r>
    </w:p>
    <w:p>
      <w:r>
        <w:t>- 33 - 2018 et les troubles constatés (rapport du 4 octobre 2022 de la Dre B.________, p. 10). c) Au vu des considérants qui précèdent, il se justifie d’ordonner le renvoi de la cause à l’office intimé – à qui il incombe au premier chef d’instruire, conformément au principe inquisitoire qui régit la procédure dans le domaine des assurances sociales selon l’art. 43 al. 1 LPGA –, cette solution apparaissant comme la plus opportune. Il incombera ainsi notamment à l’OAI de solliciter un rapport médical du H.________ ainsi que de la psychologue ayant suivi l’intéressé antérieurement. Il appartiendra ensuite à l’intimé, en fonction des documents médicaux transmis, d’examiner s’il y a lieu de mettre en œuvre une expertise psychiatrique conformément à l’art. 44 LPGA, destinée à examiner le tableau psychiatrique présenté par le recourant et ses répercussions sur la capacité de travail de celui-ci, puis de rendre ensuite une nouvelle décision statuant sur le droit aux prestations du recourant. 9. a) En définitive, le recours doit être admis et la décision entreprise annulée, la cause étant renvoyée à l’autorité intimée pour complément d’instruction dans le sens des considérants, puis nouvelle décision. b) La procédure de recours en matière de contestations portant sur des prestations de l’assurance-invalidité est soumise à des frais de justice (art. 69 al. 1bis LAI). Il convient de les fixer à 600 fr. et de les mettre à la charge d’office intimé, vu l’issue du litige. Le recourant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