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ZD23.039099 vom 14. Februar 2025</w:t>
      </w:r>
    </w:p>
    <w:p>
      <w:r>
        <w:t>VD Tribunal cantonal, 2025-02-14, FR</w:t>
      </w:r>
    </w:p>
    <w:p>
      <w:r>
        <w:rPr>
          <w:b/>
        </w:rPr>
        <w:t xml:space="preserve">Quelle: </w:t>
      </w:r>
      <w:r>
        <w:t>https://mcp.opencaselaw.ch/entscheid/vd_gerichte_ZD23.039099</w:t>
      </w:r>
    </w:p>
    <w:p>
      <w:r>
        <w:t>FR: VD_GERICHTE ZD23.039099 du 14 février 2025</w:t>
      </w:r>
    </w:p>
    <w:p>
      <w:r>
        <w:t>IT: VD_GERICHTE ZD23.039099 del 14 febbraio 2025</w:t>
      </w:r>
    </w:p>
    <w:p>
      <w:pPr>
        <w:pStyle w:val="Heading2"/>
      </w:pPr>
      <w:r>
        <w:t>Erwägungen</w:t>
      </w:r>
    </w:p>
    <w:p>
      <w:r>
        <w:rPr>
          <w:b/>
        </w:rPr>
        <w:t>E. 3</w:t>
      </w:r>
    </w:p>
    <w:p>
      <w:r>
        <w:t>a) Dans la mesure où le recourant est de nationalité espagnole, la cause doit être examinée non seulement à la lumière du droit suisse mais aussi des dispositions de l’Accord du 21 juin 1999 entre la Confédération suisse, d'une part, et la Communauté européenne et ses Etats membres, d'autre part, sur la libre circulation des personnes (Accord sur la libre circulation des personnes ou ALCP ; RS 0.142.112.681) et des règlements auxquels il renvoie, en particulier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w:t>
      </w:r>
    </w:p>
    <w:p>
      <w:r>
        <w:t>- 10 - b) Selon l’art. 6 al. 1 LAI, les ressortissants suisses et étrangers ainsi que les apatrides ont droit aux prestations conformément aux dispositions de la LAI, l’art. 39 de cette loi étant réservé. c) En vertu de l’art. 36 al. 1 LAI, l’octroi d’une rente ordinaire de l’assurance-invalidité est, quelle que soit la nationalité de la personne assurée, subordonné à une durée de cotisations minimale de trois ans lors de la survenance de l’invalidité. Dite condition n’est cependant pas absolue. En effet, en application des art. 6, 46 par. 1 et 57 par. 1 du règlement (CE) n° 883/2004, des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(voir également ch. 3004 et 3005 CIBIL [Circulaire sur la procédure pour la fixation des prestations dans l’AVS/AI]). d)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e)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références citées). La LAI ne repose pas sur une notion uniforme du cas d’assurance. Celui-ci doit être envisagé et déterminé par rapport à chaque prestation entrant concrètement en ligne de compte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références citées).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TF 9C_162/2011 du 11 novembre 2011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- 12 -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- 13 - possibilités ne revêtent une importance significative ou n’entrent raisonnablement en considération (ATF 144 V 427 consid. 3.2 ; 139 V 176 consid. 5.3 et les références citées).</w:t>
      </w:r>
    </w:p>
    <w:p>
      <w:r>
        <w:rPr>
          <w:b/>
        </w:rPr>
        <w:t>E. 5</w:t>
      </w:r>
    </w:p>
    <w:p>
      <w:r>
        <w:t>a) En l’espèce, le recourant soutient tantôt que son incapacité de travail a débuté le 1er août 2020 (acte de recours du 13 septembre 2023 p. 2, ch. 5), tantôt qu’elle a débuté le 1er juin 2020 (acte de recours du 13 septembre 2023 p. 3, ch. 10) et que la durée de cotisations en Suisse et en [...] s’élevait ainsi à plus de quatre ans (4,145). L’intimé a estimé, pour sa part, que le recourant souffrait d’une atteinte à la santé justifiant une incapacité de travail et de gain importante depuis au moins 2017, date de sa première hospitalisation en Suisse. Bien qu’il ait exercé une activité professionnelle jusqu’en 2020, son atteinte à la santé ne lui permettait pas d’avoir le rendement attendu. b) L’« Avis juriste » du 15 août 2023, auquel renvoie l’intimé dans ses écritures pour expliquer sa décision, est exempt de motivation. L’auteur de ce document s’est contenté de reprendre certaines déclarations faites par le recourant dans son courrier du 31 janvier 2023, par lequel il avait contesté le projet de décision du 14 décembre 2022. Ce dernier avait évoqué une hospitalisation lors d’un séjour en Suisse en 2017, des consommations de drogues, de fréquentes déprimes et le fait que son employeur ne s’attendait pas à des performances exceptionnelles. Or, les seules déclarations d’un assuré au sujet de son état de santé ne constituent aucunement des éléments médicaux objectifs sur la base desquels une incapacité de travail et de gain peut être retenue. L’intimé semble s’être en outre également fondé, d’une part, sur le « compte rendu de la permanence SMR » du 14 février 2022 pour retenir que l’incapacité de travail avait débuté en 2017 et, d’autre part, sur le courrier du 12 septembre 2022 de l’employeur pour retenir que l’activité exercée de 2018 à 2020 devait être écartée, faute de rendement</w:t>
      </w:r>
    </w:p>
    <w:p>
      <w:r>
        <w:t>- 14 - (cf. avis juriste du 31 août 2022 et compte rendu de la permanence juriste du 7 octobre 2022). S’agissant du « compte rendu de la permanence SMR » du 14 février 2022, il n’est aucunement motivé. Il consiste uniquement à indiquer, dans un style télégraphique, que le début de la longue maladie devait être fixé à la date de la première hospitalisation du recourant en Suisse en décembre 2017, que la capacité de travail dans toute activité était nulle depuis cette date et que le diagnostic principal retenu était une schizophrénie paranoïde. Il ne fait aucune mention, pas plus qu’il ne discute, des différents rapports établis par le Dr F.________ dont il ressort, de manière constante, que l’incapacité de travail a débuté le 21 mars 2021, lors de la décompensation du recourant (cf. rapports médicaux des</w:t>
      </w:r>
    </w:p>
    <w:p>
      <w:r>
        <w:rPr>
          <w:b/>
        </w:rPr>
        <w:t>E. 8</w:t>
      </w:r>
    </w:p>
    <w:p>
      <w:r>
        <w:t>septembre 2021, 3 octobre 2022, 24 janvier 2023 et 29 janvier 2024). Le Dr F.________ a en outre indiqué que durant sa période d’activité professionnelle, le recourant avait présenté une bonne stabilité psychique (rapports médicaux des 8 septembre 2021 pt. 2.7 ; 3 octobre 2022 réponse 1 ; 29 janvier 2024). Aucune pièce au dossier ne permet de remettre en cause les constatations du Dr F.________. A cet égard, le SMR n’expose pas pour quel motif il conviendrait de s’en écarter. Tout au plus, le compte rendu de la permanence juriste du 7 octobre 2022 indique-t-il que l’atteinte à la santé du recourant ne lui permettait pas d’assumer pleinement des tâches professionnelles mêmes simples. L’avis précité, qui se fonde essentiellement sur le courrier de l’employeur du 12 septembre 2022, ne peut être suivi. Le courrier en question, s’il constate certes que l’employeur a rencontré quelques difficultés avec le recourant, relève toutefois que ses tâches ont pu être adaptées à ses capacités et que son salaire, peu élevé, correspondait à son rendement. D’autre part – et surtout –, le compte rendu de la permanence juriste ne constitue pas un avis médical, l’évaluation de la capacité de travail relevant essentiellement de la compétence des médecins. Or, à cet égard, le Dr F.________ – qui avait connaissance de l’adaptation des tâches du recourant (cf. rapport du 3 octobre 2022) – a estimé, de manière constante et sans qu’aucun autre avis médical ne le contredise de</w:t>
      </w:r>
    </w:p>
    <w:p>
      <w:r>
        <w:t>- 15 - manière motivée, que le recourant était capable de travailler jusqu’au 21 mars 2021. Au vu de l’ensemble de ce qui précède, il sied de retenir que l’incapacité de travail du recourant a débuté le 21 mars 2021. A cet égard, il convient encore de relever que le recourant ne peut être suivi lorsqu’il affirme que son incapacité de travail a débuté en 2020. S’agissant de la date du 1er août 2020 qu’il allègue, aucun document médical versé au dossier ne fait référence à cette date. La pièce citée par le recourant (compte rendu de la permanence SMR du 14 janvier 2022) ne fait que reprendre ses propres déclarations, sans que celles-ci ne soient corroborées par un certificat médical. Quant à la date du 1er juin 2020, elle correspond à la date de cessation de l’activité professionnelle du recourant auprès de son employeur. Elle ressort uniquement du formulaire « UE/AELE : Rapport médical détaillé » complété par le médecin généraliste du recourant. Elle n’est aucunement motivée par ce médecin, dont aucun autre rapport ou certificat ne figure au dossier. Ce seul formulaire n’est ainsi pas apte à remettre en cause l’avis clair, constant et motivé du Dr F.________. c) L’incapacité de travail du recourant ayant débuté le 21 mars 2021, la survenance de l’invalidité, s’agissant d’une rente, se situe au plus tôt à la date dès laquelle le recourant a présenté, en moyenne, une incapacité de travail de 40 % au moins pendant une année sans interruption notable (art. 28 al. 1 let. b LAI), en l’occurrence en mars 2022. A cette date, le recourant comptait, compte tenu de l’entier de sa période de cotisations auprès de son employeur suisse et de ses cotisations à l’étranger, plus de trois ans de cotisations. A la date de la survenance de l’invalidité, il remplissait donc les conditions générales d’assurance relatives au nombre minimal d’années de cotisations sociales. d) Vu la motivation de la décision attaquée, l’intimé n’a pas examiné si les autres conditions d’octroi d’une rente étaient réalisées. Il convient, par conséquent de renvoyer la cause à l’intimé – à qui il incombe</w:t>
      </w:r>
    </w:p>
    <w:p>
      <w:r>
        <w:t>- 16 - au premier chef d’instruire, conformément au principe inquisitoire qui régit la procédure dans le domaine des assurances sociales selon l’art. 43 al. 1 LPGA – , cette solution apparaissant comme la plus opportune. La décision attaquée doit donc être annulée et la cause renvoyée à l’intimé pour complément d’instruction et nouvelle décision. 6. a) En définitive, le recours, bien fondé, doit être admis, la décision attaquée annulée et la cause renvoyée à l’intimé pour qu’il examine si, hormis le nombre d’année de cotisations, les autres conditions d’octroi d’une rente sont réalisées.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 d) Cette indemnité couvre le montant qui pourrait être alloué, au titre de l’assistance judiciaire. La liste des opérations produite par Me Nordmann ne peut pas être intégralement suivie à cet égard. L’activité déployée dépasse ce qu’admet la pratique de la Cour dans l’estimation du temps objectivement requis pour le traitement de cas de ce genre eu égard à l’importance et à la complexité du litige. En particulier, la liste fait mention de nombreux échanges de courriels avec le client pour un temps total de 3,35 heures, qui paraît excessif.</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