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ZD23.039031 vom 26. Juli 2024</w:t>
      </w:r>
    </w:p>
    <w:p>
      <w:r>
        <w:t>VD Tribunal cantonal, 2024-07-26, FR</w:t>
      </w:r>
    </w:p>
    <w:p>
      <w:r>
        <w:rPr>
          <w:b/>
        </w:rPr>
        <w:t xml:space="preserve">Quelle: </w:t>
      </w:r>
      <w:r>
        <w:t>https://mcp.opencaselaw.ch/entscheid/vd_gerichte_ZD23.039031</w:t>
      </w:r>
    </w:p>
    <w:p>
      <w:r>
        <w:t>FR: VD_GERICHTE ZD23.039031 du 26 juillet 2024</w:t>
      </w:r>
    </w:p>
    <w:p>
      <w:r>
        <w:t>IT: VD_GERICHTE ZD23.039031 del 26 luglio 2024</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2ème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et au vu des considérations ci-dessus (cf. consid. 6 supra), l’instruction menée par l’intimé est lacunaire et ne</w:t>
      </w:r>
    </w:p>
    <w:p>
      <w:r>
        <w:t>- 21 - permet pas de se prononcer en connaissance de cause. Il se justifie dès lors de renvoyer la cause à l’intimé, à qui il appartiendra de compléter l’instruction par la mise en œuvre d'une expertise médicale afin de déterminer les atteintes du recourant et leurs répercussions sur sa capacité de travail. En fonction du résultat de l’instruction sur le plan médical, l’OAI examinera la mise en œuvre éventuelle de mesures de réadaptation. 8. a) En définitive, le recours doit être admis et la décision litigieuse annulée, la cause étant renvoyée à l’intimé pour instruction complémentaire dans le sens des considérants. b) La procédure de recours en matière de contestations portant sur l’octroi ou le refus de prestations de l’assurance-invalidité est soumise à des frais de justice (art. 69 al. 1bis LAI). Il convient de les fixer à 600 fr. et de les porter à la charge de la partie intimée, vu l’issue du litige.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