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ZD23.038442 vom 15. August 2024</w:t>
      </w:r>
    </w:p>
    <w:p>
      <w:r>
        <w:t>VD Tribunal cantonal, 2024-08-15, FR</w:t>
      </w:r>
    </w:p>
    <w:p>
      <w:r>
        <w:rPr>
          <w:b/>
        </w:rPr>
        <w:t xml:space="preserve">Quelle: </w:t>
      </w:r>
      <w:r>
        <w:t>https://mcp.opencaselaw.ch/entscheid/vd_gerichte_ZD23.038442</w:t>
      </w:r>
    </w:p>
    <w:p>
      <w:r>
        <w:t>FR: VD_GERICHTE ZD23.038442 du 15 août 2024</w:t>
      </w:r>
    </w:p>
    <w:p>
      <w:r>
        <w:t>IT: VD_GERICHTE ZD23.038442 del 15 agosto 2024</w:t>
      </w:r>
    </w:p>
    <w:p>
      <w:pPr>
        <w:pStyle w:val="Heading2"/>
      </w:pPr>
      <w:r>
        <w:t>Erwägungen</w:t>
      </w:r>
    </w:p>
    <w:p>
      <w:r>
        <w:rPr>
          <w:b/>
        </w:rPr>
        <w:t>E. 4</w:t>
      </w:r>
    </w:p>
    <w:p>
      <w:r>
        <w:t>Dans un grief de nature formelle qu’il convient de traiter à titre préalable, la recourante s’est plainte d’une violation de son droit d’être</w:t>
      </w:r>
    </w:p>
    <w:p>
      <w:r>
        <w:t>- 13 - entendue sous l’angle d’une motivation insuffisante. Elle s’est également plainte d’une violation du devoir d’instruction de la part de l’OAI et d’une appréciation arbitraire des faits. a) Le droit d’être entendu garanti par l’art. 29 al. 2 Cst. (Constitution fédérale de la Confédération suisse du 18 avril 1999 ; RS 101) comprend notamment le droit pour toute partie de produire des preuves pertinentes, d’obtenir qu’il soit donné suite à ses offres de preuves pertinentes, lorsque cela est de nature à influer sur la décision à rendre (ATF 145 I 167 consid. 4.1 ; 143 V 71 consid. 4.1 ; 140 I 285 consid. 6.3.1). Il n’y a toutefois pas de violation du droit à l’administration de preuves lorsque la mesure probatoire refusée est inapte à établir le fait à prouver, lorsque ce fait est sans pertinence ou lorsque, sur la base d’une appréciation des preuves dont elle dispose déjà, l’autorité parvient à la conclusion que les faits pertinents sont établis et que le résultat de la mesure probatoire sollicitée ne pourrait pas modifier sa conviction (ATF 145 I 167 consid. 4.1 ; 140 I 285 consid. 6.3.1 ; 130 II 425 consid. 2.1). Aux termes de l’art. 49 al. 3 LPGA, l’assureur doit motiver ses décisions si elles ne font pas entièrement droit aux demandes des parties. Cette obligation, qui découle également du droit d’être entendu, garanti par l’art. 29 al. 2 Cst., a pour but que la personne destinataire de la décision puisse la comprendre, la contester utilement s’il y a lieu et que l’instance de recours soit en mesure, si elle est saisie, d’exercer pleinement son contrôle. Pour répondre à ces exigences, l’autorité doit mentionner, au moins brièvement, les motifs qui l’ont guidée et sur lesquels elle a fondé sa décision, de manière à ce que la personne concernée puisse se rendre compte de la portée de celle-ci et l’attaquer en connaissance de cause. Elle n’a toutefois pas l’obligation d’exposer et de discuter tous les faits, moyens de preuve et arguments invoqués par les parties, mais peut au contraire se limiter à l’examen des questions décisives pour l’issue de la procédure (ATF 146 II 335 consid. 5.1 ; 141 V 557 consid. 3.2.1 et les arrêts cités). Dès lors que l’on peut discerner les motifs qui ont guidé la décision de l’autorité, le droit à une décision motivée est respecté même si la motivation présentée est erronée. La</w:t>
      </w:r>
    </w:p>
    <w:p>
      <w:r>
        <w:t>- 14 - motivation peut d’ailleurs être implicite et résulter des différents considérants de la décision (ATF 141 V 557 consid. 3.2). En revanche, une autorité se rend coupable d’un déni de justice formel prohibé par l’art. 29 al. 2 Cst. si elle omet de se prononcer sur des allégués et arguments qui présentent une certaine pertinence ou de prendre en considération des allégués et arguments importants pour la décision à rendre (ATF 142 III 360 consid. 4.1.1 ; 141 V 557 consid. 3.2.1 ; 133 III 235 consid. 5.2). b) En l’espèce, il convient d’observer que la décision litigieuse permet de comprendre les motifs pour lesquels l’intimé a alloué une rente entière d’invalidité jusqu’au 31 juillet 2022, puis une demi-rente d’invalidité, et est suffisante. On relèvera en outre que la recourante s’est déterminée sur le projet de décision du 23 janvier 2023 par un courrier du 13 février 2023 et que l’OAI a pris position sur ces objections par courrier du 9 mai 2023. Ainsi, au vu des arguments développés par la recourante dans son courrier du 23 janvier 2023, force est d’admettre que la recourante avait compris les motifs de rejet de l’intimé et a pu se déterminer en connaissance de cause. Au demeurant, elle a été en mesure de faire valoir ses arguments dans le cadre de son recours devant la Cour de céans, laquelle dispose d’un plein pouvoir d’examen (art. 56 ss LPGA ; ATF 145 I 167 consid. 4.4 ; 142 II 218 consid. 2.8.1 ; 137 I 195 consid. 2.3.2 ; TF 9C_205/2013 du 1er octobre 2013 consid. 1.3 et la référence citée), de sorte qu’une éventuelle violation de son droit d’être entendue devrait être quoi qu’il en soit considérée comme réparée. Quant aux autres reproches faits par la recourante, du moment qu’ils portent sur le refus implicite de donner suite aux mesures d’instruction requises, le grief tiré de la violation du droit d’être entendu se confond avec celui de l’obligation d’instruire (art. 43 al. 1 LPGA), respectivement de constatation manifestement inexacte ou incomplète des faits pertinents et d’appréciation des preuves entachées d’arbitraire. Ils seront donc examinés avec le fond du litige. c) On relèvera encore ici que la recourante a allégué, au cours de la procédure administrative, qu’il appartenait à l’OAI d’instruire et de</w:t>
      </w:r>
    </w:p>
    <w:p>
      <w:r>
        <w:t>- 15 - réunir toutes les pièces nécessaires à la prise de position. Il n’en est cependant rien dans la mesure où l’OAI avait rendu un projet de décision le 23 janvier 2023 conformément à l’art. 57a LAI (dans sa teneur en vigueur au 31 décembre 2021) et que l’on se trouvait dans la phase d’audition préalable. Il appartenait ainsi à la recourante de faire part de ses observations (art. 73ter al. 1 RAI) et non à l’OAI de réunir les documents que la recourante jugeait nécessaires. La recourante a d’ailleurs implicitement admis ce fait du moment qu’elle a informé l’OAI, par courrier du 31 mars 2023, que le Dr S.________ allait produire un rapport dans le courant du mois d’avril 2023. En dépit du délai accordé au 30 avril 2023 pour ce faire, l’assurée n’a cependant ni produit de rapport médical, ni requis une prolongation de délai à cet effet, pas plus qu’elle n’a réagi au courrier du 9 mai 2023 de l’OAI remarquant l’absence de rapport médical ou de requête de prolongation du délai de production.</w:t>
      </w:r>
    </w:p>
    <w:p>
      <w:r>
        <w:rPr>
          <w:b/>
        </w:rPr>
        <w:t>E. 4.3</w:t>
      </w:r>
    </w:p>
    <w:p>
      <w:r>
        <w:t>et les références citées). La grille d’évaluation de la capacité résiduelle de travail comprend également un examen de la cohérence entre l’analyse du degré de gravité fonctionnel, d’une part, et la répercussion de l’atteinte dans les différents domaines de la vie et le traitement suivi, d’autre part. Il s’agit plus précisément de déterminer si l’atteinte à la santé se manifeste de la même manière dans l’activité professionnelle (pour les personnes sans activité lucrative, dans l’exercice des tâches habituelles) et dans les autres domaines de la vie. Il est notamment recommandé de faire une comparaison avec le niveau d’activité sociale avant l’atteinte à la santé. Il s’agit également de vérifier si des traitements sont mis à profit ou, au contraire, sont négligés. Cela ne vaut toutefois qu’aussi longtemps que le comportement en question n’est pas influencé par la procédure en matière d’assurance en cours. On ne peut pas conclure à l’absence de lourdes souffrances lorsqu’il est clair que le fait de ne pas recourir à une thérapie recommandée et accessible ou de ne pas s’y conformer doit être attribué à une incapacité (inévitable) de la personne assurée de comprendre sa maladie. De manière similaire, le comportement de la personne assurée dans le cadre de sa réadaptation professionnelle (par soi-même) doit être pris en considération. Dans ce contexte également, un comportement incohérent est un indice que la limitation invoquée serait due à d’autres raisons qu’à une atteinte à la santé assurée (ATF 141 V 281 consid. 4.4 et les références citées).</w:t>
      </w:r>
    </w:p>
    <w:p>
      <w:r>
        <w:t>- 20 -</w:t>
      </w:r>
    </w:p>
    <w:p>
      <w:r>
        <w:rPr>
          <w:b/>
        </w:rPr>
        <w:t>E. 5</w:t>
      </w:r>
    </w:p>
    <w:p>
      <w:r>
        <w:t>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w:t>
      </w:r>
    </w:p>
    <w:p>
      <w:r>
        <w:t>- 16 - moins 40 % en moyenne durant une année sans interruption notable et si, au terme de cette année, il est invalide à 40 % au moins (art. 28 al. 1 LAI). Conformément à l’art. 28 al. 2 LAI (dans sa teneur en vigueur au 31 décembre 2021), un taux d’invalidité de 40 % donne droit à un quart de rente, un taux d’invalidité de 50 % au moins donne droit à une demi-rente, un taux d’invalidité de 60 % au moins donne droit à trois-quarts de rente et un taux d’invalidité de 70 % au moins donne droit à une rente entière.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c) Le droit à la rente prend naissance au plus tôt à l’échéance d’une période de six mois à compter de la date à laquelle l’assuré a fait valoir son droit aux prestations conformément à l’art. 29 al. 1 LPGA, mais pas avant le mois qui suit le 18e anniversaire de l’assuré (art. 29 al. 1 LAI). d) Si le taux d’invalidité du bénéficiaire de rente subit une modification notable, la rente est, d’office ou sur demande, révisée pour l’avenir, à savoir augmentée ou réduite en conséquence, ou encore supprimée (art. 17 al. 1 LPGA [dans sa teneur en vigueur au 31 décembre 2021]). Une diminution notable du taux d’invalidité est établie, en particulier, dès qu’une amélioration déterminante de la capacité de gain a duré trois mois sans interruption notable et sans qu’une complication prochaine soit à craindre (art. 88a al. 1 RAI [règlement du 17 janvier 1961 sur l’assurance-invalidité ; RS 831.201]). Ces dispositions sont applicables, par analogie, lorsqu’un office de l’assurance-invalidité alloue, avec effet rétroactif, une rente d’invalidité temporaire ou échelonnée (ATF 145 V 209 consid. 5.3 ; 131 V 164 consid. 2.2 ; 125 V 413 consid. 2d).</w:t>
      </w:r>
    </w:p>
    <w:p>
      <w:r>
        <w:rPr>
          <w:b/>
        </w:rPr>
        <w:t>E. 6</w:t>
      </w:r>
    </w:p>
    <w:p>
      <w:r>
        <w:t>a) Pour fixer le degré d’invalidité, l’administration – en cas de recours, le juge – se fonde sur des documents médicaux, ainsi que, le cas échéant, des documents émanant d’autres spécialistes pour prendre position. La tâche du médecin consiste à évaluer l’état de santé de la</w:t>
      </w:r>
    </w:p>
    <w:p>
      <w:r>
        <w:t>- 17 -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b)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c) S’agissant des rapports établis par les médecins traitants, le juge peut et doit tenir compte du fait que, selon l’expérience, la relation thérapeutique et le rapport de confiance qui les lient à leur patient les placent dans une situation délicate pour constater les faits dans un contexte assécurologique. Ce constat ne libère cependant pas le tribunal de procéder à une appréciation complète des preuves et de prendre en considération les rapports produits par la personne assurée, afin de voir</w:t>
      </w:r>
    </w:p>
    <w:p>
      <w:r>
        <w:t>- 18 - s’ils sont de nature à éveiller des doutes sur la fiabilité et la validité des constatations du médecin de l’assurance (ATF 135 V 465 consid. 4.5 et 4.6 et les références citées ; TF 8C_281/2019 du 19 mai 2020 consid. 5.1). d) Fondés sur l’art. 59 al. 2bis LAI (dans sa teneur en vigueur au 31 décembre 2021), en corrélation avec l’art. 49 al. 1 RAI, les avis médicaux du SMR se distinguent des expertises ou des examens médicaux auxquels le SMR peut également procéder (art. 49 al. 2 RAI). De par leur nature, ils n’impliquent pas d’examen clinique. Ils ont seulement pour fonction d’opérer la synthèse des renseignements médicaux recueillis, de prendre position à leur sujet et de prodiguer des recommandations quant à la suite à donner au dossier sur le plan médical. Il est admissible de se fonder de manière déterminante sur leur contenu, sauf s’ils sont sérieusement contredits par d’autres rapports médicaux que les médecins du SMR auraient ignorés (ATF 142 V 58 consid. 5.1 ; TF 9C_10/2017 du 27 mars 2017 consid. 5.1 et les références citées).</w:t>
      </w:r>
    </w:p>
    <w:p>
      <w:r>
        <w:rPr>
          <w:b/>
        </w:rPr>
        <w:t>E. 7</w:t>
      </w:r>
    </w:p>
    <w:p>
      <w:r>
        <w:t>a) Les affections psychiques, les affections psychosomatiques et les syndromes de dépendance à des substances psychotropes doivent en principe faire l’objet d’une procédure probatoire structurée (ATF 145 V 215 ; 143 V 418 consid. 6 et 7 ; 141 V 281 et les références citées). b) Il convient en premier lieu que l’atteinte soit diagnostiquée par l’expert selon les règles de l’art (ATF 141 V 281 consid. 2.1.2 et 2.2). c) Une fois le diagnostic posé, la capacité de travail réellement exigible doit être examinée au moyen d’un catalogue d’indicateurs, appliqué en fonction des circonstances du cas particulier et répondant aux exigences spécifiques de celui-ci (ATF 141 V 281 consid. 4.1.1). Cette grille d’évaluation comprend un examen du degré de gravité fonctionnel de l’atteinte à la santé, avec notamment une prise en considération du caractère plus ou moins prononcé des éléments pertinents pour le diagnostic, du succès ou de l’échec d’un traitement dans les règles de l’art, d’une éventuelle réadaptation ou de la résistance</w:t>
      </w:r>
    </w:p>
    <w:p>
      <w:r>
        <w:t>- 19 - à une telle réadaptation, et enfin de l’effet d’une éventuelle comorbidité physique ou psychique sur les ressources adaptatives de la personne assurée. Il s’agit également de procéder à un examen de la personnalité de la personne assurée avec des exigences de motivation accrue (ATF 141 V 281 consid. 4.3 et les références citées). De surcroît, il convient d’analyser le contexte social. Sur ce dernier point, le Tribunal fédéral souligne, d’une part, que dans la mesure où des contraintes sociales ont directement des conséquences fonctionnelles négatives, elles doivent être mises de côté ; d’autre part, des ressources mobilisables par la personne assurée peuvent être tirées du contexte de vie de ce dernier, ainsi le soutien dont elle bénéficie dans son réseau social (ATF 141 V 281 consid.</w:t>
      </w:r>
    </w:p>
    <w:p>
      <w:r>
        <w:rPr>
          <w:b/>
        </w:rPr>
        <w:t>E. 8</w:t>
      </w:r>
    </w:p>
    <w:p>
      <w:r>
        <w:t>Cela étant, il y a lieu de déterminer le degré d’invalidité de la recourante.</w:t>
      </w:r>
    </w:p>
    <w:p>
      <w:r>
        <w:t>- 25 - a) Lorsque la personne assurée dispose encore d’une capacité de travail dans son activité habituelle, le taux d’invalidité est identique au taux de l’incapacité de travail (application de la méthode de la comparaison en pour-cent ; TF 9C_888/2011 du 13 juin 2012 consid. 4.4 ; TF 9C_137/2010 du 19 avril 2010 ; TF 9C_396/2009 du 12 février 2010 consid. 3.2). b) Selon les constatations des médecins traitants, la recourante dispose d’un taux d’activité de 50 % dans une activité habituelle chez son employeur (cf. rapport du 29 avril 2022 du Dr S.________). Le taux d’invalidité se confond donc avec celui de l’incapacité de travail et il n’y a pas lieu de procéder à une comparaison des revenus pour déterminer le taux d’invalidité. En l’occurrence, le taux d’invalidité doit être fixé à 100 % du 1er avril 2021 au 30 avril 2022 et à 50 % dès le 1er mai 2022. Au vu de l’art. 88a RAI, la rente entière octroyée par l’OAI sera remplacée par une demi-rente dès le 1er août 2022, à savoir trois mois après la modification du taux.</w:t>
      </w:r>
    </w:p>
    <w:p>
      <w:r>
        <w:rPr>
          <w:b/>
        </w:rPr>
        <w:t>E. 9</w:t>
      </w:r>
    </w:p>
    <w:p>
      <w:r>
        <w:t>Il convient enfin de déterminer si la capacité résiduelle de travail de 50 % est exploitable sur le marché du travail équilibré, la recourante étant âgée de plus de 60 ans lors de l’examen du Dr S.________ du 29 avril 2022. a) Selon l’art. 28a al. 1 LAI, l’art. 16 LPGA s’applique à l’évaluation de l’invalidité des assurés exerçant une activité lucrative. Cette disposition prévoit que,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b) Lorsqu'il s'agit d'examiner dans quelle mesure un assuré peut encore exploiter économiquement sa capacité de travail résiduelle sur le marché du travail entrant en considération pour lui, on ne saurait</w:t>
      </w:r>
    </w:p>
    <w:p>
      <w:r>
        <w:t>- 26 - subordonner la concrétisation des possibilités de travail et des perspectives de gain à des exigences excessives.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d'œuvre (TF 9C_633/2016 du 28 décembre 2016 consid. 4.2 ; 8C_466/2015 du 26 avril 2016 consid. 3.2.2 et 8C_761/2014 du 15 octobre 2015 consid. 3.2.2). On ne saurait toutefois se fonder sur des possibilités de travail irréalistes. Ainsi, on ne peut parler d'une activité exigible au sens de l'art.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(TF 9C_286/2015 du 12 janvier 2016 consid. 4.2 ; 9C_329/2015 du 20 novembre 2015 consid. 7.2 et 9C_496/2015 du 28 octobre 2015 consid. 3.2). c) S'il est vrai que des facteurs tels que l'âge, le manque de formation ou les difficultés linguistiques jouent un rôle non négligeable pour déterminer dans un cas concret les activités que l'on peut encore raisonnablement exiger d'un assuré, ils ne constituent pas, en règle générale, des circonstances supplémentaires qui, à part le caractère raisonnablement exigible d'une activité, sont susceptibles d'influencer l'étendue de l'invalidité, même s'ils rendent parfois difficile, voire impossible la recherche d'une place et, partant, l'utilisation de la capacité de travail résiduelle (TF 9C_774/2016 du 30 juin 2017 consid. 5.2 ; 9C_716/2014 du 19 février 2015 consid. 4.1 et 9C_1043/2008 du 2 juillet 2009 consid. 3.2). Cela dit, lorsqu’il s’agit d’évaluer l’invalidité d’un assuré qui se trouve proche de l’âge donnant droit à la rente de vieillesse, il faut procéder à une analyse globale de la situation et se demander si, de manière réaliste, cet assuré est en mesure de retrouver un emploi sur un marché équilibré du travail. Cela revient à déterminer, dans le cas concret qui est soumis à l’administration ou au juge, si un employeur potentiel</w:t>
      </w:r>
    </w:p>
    <w:p>
      <w:r>
        <w:t>- 27 - consentirait objectivement à engager l’assuré, compte tenu notamment des activités qui restent exigibles de sa part en raison d’affections physiques ou psychiques, de l’adaptation éventuelle de son poste de travail à son handicap, de son expérience professionnelle et de sa situation sociale, de ses capacités d’adaptation à un nouvel emploi, du salaire et des contributions patronales à la prévoyance professionnelle obligatoire, ainsi que de la durée prévisible des rapports de travail (TF 9C_695/2010 du 15 mars 2011 consid. 5 et les références). Selon la jurisprudence, le moment où la question de la mise en valeur de la capacité (résiduelle) de travail pour un assuré proche de l’âge de la retraite sur le marché de l’emploi doit être examinée correspond au moment auquel il a été constaté que l’exercice (partiel) d’une activité lucrative était médicalement exigible, soit dès que les documents médicaux permettent d’établir de manière fiable les faits y relatifs (ATF 138 V 457 consid. 3.3 ; TF 9C_716/2014 du 19 février 2015 consid. 4.2). Il est par ailleurs admis que le seuil à partir duquel on peut parler d’âge avancé se situe autour de 60 ans, même si le Tribunal fédéral n’a pas fixé d’âge limite jusqu’à présent (ATF 138 V 457 consid. 3.1 ; TF 9C_612/2007 du 14 juillet 2008 consid. 5.2). d) En l’espèce, la recourante a toujours travaillé dans le domaine administratif et a conservé de bonnes compétences socioprofessionnelles, de sorte qu’il sera loisible de mettre en avant son expérience. Bien qu’étant proche de l’âge de la retraite, il existe encore une possibilité réaliste de mise en valeur de la capacité résiduelle de travail sur le marché concret du travail.</w:t>
      </w:r>
    </w:p>
    <w:p>
      <w:r>
        <w:rPr>
          <w:b/>
        </w:rPr>
        <w:t>E. 10</w:t>
      </w:r>
    </w:p>
    <w:p>
      <w:r>
        <w:t>a) Au vu de ce qui précède, le recours doit être rejeté et la décision querellée confirmée. b) En dérogation à l’art. 61 let. fbis LPGA, la procédure de recours en matière de contestations portant sur l’octroi ou le refus de prestations de l’AI devant le tribunal cantonal des assurances est soumise</w:t>
      </w:r>
    </w:p>
    <w:p>
      <w:r>
        <w:t>- 28 - à des frais de justice (art. 69 al. 1bis LAI). En l’espèce, les frais judiciaires, arrêtés à 600 fr., sont mis à la charge de la recourante qui succombe. c) N’obtenant pas gain de cause, la recourante ne saurait prétendre à des dépens (art. 55 al. 1 LPA-VD et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