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ZD23.038236 vom 30. April 2024</w:t>
      </w:r>
    </w:p>
    <w:p>
      <w:r>
        <w:t>VD Tribunal cantonal, 2024-04-30, FR</w:t>
      </w:r>
    </w:p>
    <w:p>
      <w:r>
        <w:rPr>
          <w:b/>
        </w:rPr>
        <w:t xml:space="preserve">Quelle: </w:t>
      </w:r>
      <w:r>
        <w:t>https://mcp.opencaselaw.ch/entscheid/vd_gerichte_ZD23.038236</w:t>
      </w:r>
    </w:p>
    <w:p>
      <w:r>
        <w:t>FR: VD_GERICHTE ZD23.038236 du 30 avril 2024</w:t>
      </w:r>
    </w:p>
    <w:p>
      <w:r>
        <w:t>IT: VD_GERICHTE ZD23.038236 del 30 aprile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rPr>
          <w:b/>
        </w:rPr>
        <w:t>E. 4</w:t>
      </w:r>
    </w:p>
    <w:p>
      <w:r>
        <w:t>Selon le principe de la libre appréciation des preuves (art. 61 let. c LPGA), le juge apprécie librement les preuves médicales sans</w:t>
      </w:r>
    </w:p>
    <w:p>
      <w:r>
        <w:t>- 11 -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Le recourant conteste l’appréciation de sa capacité de travail faite par les experts du Bureau d'expertise W.________, remettant ainsi en cause la valeur probante de leur rapport. a) Le rapport d’expertise du 18 novembre 2022 et son complément du 6 mars 2023 ont été établis après un examen de l’assuré réalisé le 1er novembre 2022. Ils contiennent une anamnèse détaillée par systèmes, se fondent sur les constatations des experts et les plaintes de l’intéressé. L’expert interniste a en outre recueilli des renseignements complémentaires auprès des Dres F.________ et D.________. Les conclusions des experts sont claires et motivées. Le rapport du 18 novembre 2022 contient en outre une évaluation consensuelle du cas. En ce sens, l’expertise et son complément répondent aux critères jurisprudentiels permettant de leur reconnaître une pleine valeur probante. Les experts ont ainsi retenu les diagnostics incapacitants de douleurs lombaires sans irradiation dans les membres inférieurs, sur</w:t>
      </w:r>
    </w:p>
    <w:p>
      <w:r>
        <w:t>- 12 - scoliose lombaire gauche, avec antécédent de tassement vertébral de L2 (M54.5), de probable algodystrophie des deux pieds (M89.0), de douleur de hanche gauche sur lésion ostéochondrale de la tête fémorale gauche, avec début de perte de la sphéricité, post nécrose de la tête fémorale et coxarthrose (M86.9 et M16.9) et de diabète de type 2 insulinorequérant (E11.3) depuis novembre 2020, sans artériopathie, ni néphropathie, ni neuropathie, mais avec minime rétinopathie de l’œil droit. Ils ont constaté que l’assuré souffrait encore de ténosynovite du tendon fléchisseur du cinquième doigt à droite, scoliose lombaire gauche, status post fracture consolidée du plateau supérieur de L2, ostéoporose corticale, cirrhose hépatique CHILD B d’origine mixte, éthylique et dysmétabolique (K70.3), varices œsophagiennes sur hypertension portale (K76.6), œsophagite de reflux, stade E2 (K21.0), hypertension artérielle avec cardiopathie hypertensive débutante (I10.9), insuffisance rénale chronique KIDGO G3a (N18.3) sans albuminurie, avec hyperuricémie, hémorroïdes (K64.0) et podalgies bilatérales d’origine indéterminée, tous sans effet sur la capacité de travail. Les experts ont examiné les ressources de l’assuré, constatant qu’il arrivait à faire les gestes de la vie quotidienne en fonction de son état, cuisinait, faisait la vaisselle à la main malgré la présence d’un lave-vaisselle, conduisait sur de petites distances, sortait son chien trois fois par jour, se rendait seul au Portugal, et bénéficiait de l’aide de son fils. Ses ressources externes étaient toutefois limitées à ce dernier. Sur le plan de la médecine interne, l’expert a estimé que le diabète insulinorequérant contre-indiquait l’exercice de l’activité habituelle de transport professionnel de personnes et imposait en outre des limitations fonctionnelles dans l’optique d’une activité adaptée, à savoir un horaire régulier, sans travail de nuit et sans efforts physiques intenses. Dans une activité adaptée, l’assuré était capable de travailler à temps complet. Sur le plan rhumatologique, l’expert a constaté que l’assuré n’était plus capable de travailler dans son activité habituelle, mais disposait d’une capacité de 70 % (soit 100 % avec une baisse de rendement de 30 %) dès le mois de novembre 2020 dans une activité adaptée, laquelle devait éviter les marches au-delà de 5 minutes, ne pas comporter de piétinement, de montée ou de descente d’escaliers, de</w:t>
      </w:r>
    </w:p>
    <w:p>
      <w:r>
        <w:t>- 13 - position accroupie ou à genou, d’effort à partir du sol au-delà de 5 kg et de port de charges proche du corps au-delà de 10 kg. Dans leur évaluation consensuelle, les experts ont estimé que l’assuré était capable de travailler dans une activité adaptée à toutes ces limitations fonctionnelles à 70 % depuis le 17 novembre 2020. Se prononçant sur les traitements, l’expert interniste a retenu que les traitements en cours étaient adéquats, tandis que l’expert rhumatologue a constaté que l’assuré ne prenait pas l’analgésique qui lui était prescrit (Lyrica), que le traitement antalgique ne correspondait pas au diagnostic évoqué et que les traitements habituellement efficaces dans le cadre d’une algoneurodystrophie pourraient être introduits. b) Les certificats établis par la Dre F.________, dont se prévaut le recourant, ne permettent pas de remettre en cause les conclusions des experts. Ses certificats ne sont en effet pas assez étayés pour retenir une incapacité totale de travail y compris dans une activité adaptée, ce d’autant qu’elle retient les mêmes limitations fonctionnelles que les experts. L’évaluation de la capacité de travail doit en outre être faite en se fondant sur la situation existante et non en anticipant d’éventuels effets secondaires de traitements qui pourraient être introduits, comme le soutient la médecin traitante dans son certificat du 26 mai 2023. La Dre F.________ n’explique pas davantage dans son certificat du 4 septembre 2023 les raisons pour lesquelles les douleurs aux pieds, présentes deux- trois fois par mois et occasionnant une baisse de la concentration, justifieraient une incapacité totale de travail. Les experts ont tenu compte de ces éléments dans leur appréciation, étant précisé que le recourant leur avait alors signalé une douleur continue et des difficultés de sommeil engendrant peu de problème de concentration. Le recourant s’étonne que les experts estiment qu’il n’a plus de capacité de travail dans son activité habituelle de chauffeur de bus scolaire alors que cette activité lui paraît adaptée à ses limitations fonctionnelles. Il y voit une contradiction dès lors que les experts retiennent quand même une capacité de travail dans une activité adaptée. Il reproche également aux experts de ne pas avoir retenu de limitations</w:t>
      </w:r>
    </w:p>
    <w:p>
      <w:r>
        <w:t>- 14 - fonctionnelles en raison de son diabète. Or, les experts ont précisé que l’activité habituelle de transport professionnel de personnes était contre- indiquée en raison du diabète insulinorequérant qui imposait également des limitations fonctionnelles (horaires réguliers, sans travail de nuit, ni efforts physiques intenses). On précisera, à toutes fins utiles, que cela est conforme à ce que préconisent les directives du comité de la Société suisse d’endocrinologie et de diabétologie et du comité de l’Association suisse du diabète concernant l’aptitude à conduire lors de diabète sucré, émises en 2011 et adaptées en 2017, et l’ordonnance réglant l’admission des personnes et des véhicules à la circulation routière du 27 octobre 1976. Cela étant, les experts ont également estimé que l’activité de chauffeur n’était pas compatible aux atteintes rhumatologiques, de sorte que l’activité habituelle n’est plus exigible. Les conclusions des experts ne sont par conséquent pas contradictoires. Le recourant souligne encore que le complément d’expertise reconnaît qu’il a peu de ressources, ce qu’il considère comme étant contradictoire avec l’admission d’une pleine capacité de travail avec diminution de rendement de 30 %. Or, l’ensemble des ressources et des charges ont été évaluées et prises en compte dans la détermination de la capacité de travail. Il n’y a pas de contradiction à admettre qu’une activité adaptée simple avec une diminution de rendement de 30 % est exigible même en présence de ressources restreintes. c) Vu ce qui précède, l’OAI pouvait légitiment suivre les conclusions probantes des experts.</w:t>
      </w:r>
    </w:p>
    <w:p>
      <w:r>
        <w:rPr>
          <w:b/>
        </w:rPr>
        <w:t>E. 6</w:t>
      </w:r>
    </w:p>
    <w:p>
      <w:r>
        <w:t>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w:t>
      </w:r>
    </w:p>
    <w:p>
      <w:r>
        <w:t>- 15 -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w:t>
      </w:r>
    </w:p>
    <w:p>
      <w:r>
        <w:t>- 16 -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(dans ce sens : ATF 135 V 297 ; 135 V 58 ; 134 V 322 consid. 4 et 5.2).</w:t>
      </w:r>
    </w:p>
    <w:p>
      <w:r>
        <w:rPr>
          <w:b/>
        </w:rPr>
        <w:t>E. 7</w:t>
      </w:r>
    </w:p>
    <w:p>
      <w:r>
        <w:t>Le recourant conteste le revenu d’invalide retenu par l’OAI, plus particulièrement l’abattement qui a été appliqué. Il soutient que les limitations fonctionnelles qu’il présente et son âge justifient de tenir compte d’un abattement de 20 %, à ajouter à celui de 5 % déjà retenu par l’OAI. S’agissant des limitations fonctionnelles, un abattement n’entre en considération que si, sur un marché du travail équilibré, il n’y a plus un éventail suffisamment large d’activités accessibles à l’assuré (TF 8C_716/2021 du 12 octobre 2022 consid. 6). En l’occurrence, le recourant peut travailler dans toutes activités simples dans le domaine industriel léger, par exemple au montage, au contrôle ou à la surveillance d’un processus de production, comme ouvrier à l’établi dans des activités simples et légères, dans le conditionnement léger ou comme opérateur sur machines conventionnelles (perçage, fraisage, taraudage et autres) (cf. calcul du salaire exigible du 24 avril 2023). Ces activités simples représentent un éventail large de postes à la portée du recourant. L’assuré ne démontre pas non plus qu’il ne pourrait mettre en valeur sa capacité résiduelle de travail sur le marché équilibré de travail qu'avec un résultat inférieur à la moyenne. Une déduction sur le salaire statistique ne se justifie donc pas pour tenir compte des circonstances liées à son handicap, lequel a par ailleurs déjà été pris en considération dans la baisse de rendement de 30 %. L’âge n’a en principe pas d’incidence sur le salaire pour les activités de niveau de compétences 1 (TF 9C_284/2018 du 17 juillet 2018 consid. 2.2.3), dont le recourant ne conteste pas l’application. Ce dernier ne fait au demeurant pas valoir de circonstance particulière susceptible de</w:t>
      </w:r>
    </w:p>
    <w:p>
      <w:r>
        <w:t>- 17 - justifier un abattement en raison de l’âge. Quoi qu’il en soit, compte tenu du recours aux mêmes données statistiques pour le revenu avec invalidité et celui sans invalidité, un abattement tenant compte de l’âge devrait être appliqué aux deux revenus, ce qui aurait un effet nul. Aussi, l’abattement de 5 % retenu par l’OAI en raison du taux d’occupation réduit peut être confirmé.</w:t>
      </w:r>
    </w:p>
    <w:p>
      <w:r>
        <w:rPr>
          <w:b/>
        </w:rPr>
        <w:t>E. 8</w:t>
      </w:r>
    </w:p>
    <w:p>
      <w:r>
        <w:t>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w:t>
      </w:r>
    </w:p>
    <w:p>
      <w:r>
        <w:t>- 18 - impossible la recherche d'une place et, partant, l'utilisation de la capacité de travail résiduelle (TF 9C_774/2016 du 30 juin 2017 consid. 5.2 ; TF 9C_716/2014 du 19 février 2015 consid. 4.1). Cela dit,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 TF 9C_188/2019 du</w:t>
      </w:r>
    </w:p>
    <w:p>
      <w:r>
        <w:rPr>
          <w:b/>
        </w:rPr>
        <w:t>E. 10</w:t>
      </w:r>
    </w:p>
    <w:p>
      <w:r>
        <w:t>Le dossier est complet et permet à la Cour de céans de statuer en pleine connaissance de cause. Il n’y a dès lors pas lieu de compléter l’instruction comme le requiert le recourant par la mise en œuvre d’une contre-expertise.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w:t>
      </w:r>
    </w:p>
    <w:p>
      <w:r>
        <w:t>- 21 -</w:t>
      </w:r>
    </w:p>
    <w:p>
      <w:r>
        <w:rPr>
          <w:b/>
        </w:rPr>
        <w:t>E. 11</w:t>
      </w:r>
    </w:p>
    <w:p>
      <w:r>
        <w:t>a) Vu ce qui précède, le recours doit être rejeté et la décision entreprise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