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ZD23.037158 vom 17. September 2025</w:t>
      </w:r>
    </w:p>
    <w:p>
      <w:r>
        <w:t>VD Tribunal cantonal, 2025-09-17, FR</w:t>
      </w:r>
    </w:p>
    <w:p>
      <w:r>
        <w:rPr>
          <w:b/>
        </w:rPr>
        <w:t xml:space="preserve">Quelle: </w:t>
      </w:r>
      <w:r>
        <w:t>https://mcp.opencaselaw.ch/entscheid/vd_gerichte_ZD23.037158</w:t>
      </w:r>
    </w:p>
    <w:p>
      <w:r>
        <w:t>FR: VD_GERICHTE ZD23.037158 du 17 septembre 2025</w:t>
      </w:r>
    </w:p>
    <w:p>
      <w:r>
        <w:t>IT: VD_GERICHTE ZD23.037158 del 17 settembre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w:t>
      </w:r>
    </w:p>
    <w:p>
      <w:r>
        <w:t>- 9 -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4</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- 10 -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Selon la jurisprudence, le tribunal peut accorder une pleine valeur probante à une expertise mise en œuvre dans le cadre d'une procédure administrative au sens de l'art. 44 LPGA, aussi longtemps qu'aucun indice concret ne permet de douter de son bien-fondé (ATF 135 V 465 consid. 4.4 ;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w:t>
      </w:r>
    </w:p>
    <w:p>
      <w:r>
        <w:t>- 11 - l'expertise et qui sont suffisamment pertinents pour remettre en cause les conclusions de l'expertise (ATF 135 V 465 consid. 4.5; TF 8C_409/2023 du 15 avril 2024 consid. 3.3 et les références citées).</w:t>
      </w:r>
    </w:p>
    <w:p>
      <w:r>
        <w:rPr>
          <w:b/>
        </w:rPr>
        <w:t>E. 6</w:t>
      </w:r>
    </w:p>
    <w:p>
      <w:r>
        <w:t>a) En l’occurrence, la recourante conteste la valeur probante du rapport d’expertise pluridisciplinaire établi le 24 mai 2023 par les médecins du N.________ pour divers motifs en se fondant en particulier sur les critiques formulées par le Dr X.________. b) Dans un premier moyen de nature formel, la recourante déplore l’absence d’interprète lors de l’entretien avec l’expert psychiatre qui a eu lieu le 5 avril 2023. Or elle ne peut aujourd’hui soutenir que l’expertise du N.________ ne serait pas suffisante, au motif que l’experte psychiatre n’aurait pas procédé à son examen en la présence d’un interprète de langue espagnole, ce d’autant qu’il ressort du dossier que la recourante, qui vit depuis de nombreuses années en Suisse et y a occupé des emplois, comprend le français et aurait renoncé à un interprète pour le volet psychiatrique de l’expertise. Par ailleurs, il lui était loisible de se plaindre de l’absence d’interprète en cours d’audition, ce qu’elle n’a pas fait. La recourante ne peut dès lors être suivie lorsqu’elle affirme que l’absence d’interprète devrait conduire à rediscuter la valeur probante du volet psychiatrique de l’expertise du N.________, cet argument ne résistant pas à l’examen. c) Par un second moyen, soulevé sur le fond, la recourante conteste la bonne facture de l’expertise du N.________, au motif qu’elle serait lacunaire et erronée dans ses volets rhumatologique et psychiatrique, voire même contradictoire avec les autres éléments médicaux figurant au dossier. aa) Il convient d’abord de relever que l’expertise pluridisciplinaire (médecine interne générale, neurologie, psychiatrie et psychothérapie, rhumatologie) datant des mois de mars-avril 2023 au N.________ a été réalisée dans les règles de l’art (anamnèse, plaintes et</w:t>
      </w:r>
    </w:p>
    <w:p>
      <w:r>
        <w:t>- 12 - examens cliniques par des spécialistes reconnus dans chacun des domaines concernés), sur la base du dossier médical mis à disposition, et est fouillée, particulièrement bien explicitée dans chaque discipline, avec une évaluation globale et des conclusions posées en consilium. Comme on le verra ci-après, les douleurs physiques ont bien été investiguées, tout comme l’examen d’une pathologie psychiatrique indépendante sous- jacente, en l’occurrence exclue. bb) S’agissant en particulier des maux touchant les deux épaules, l’expert neurologue a pris en compte dans son évaluation les plaintes de l’assurée et les explorations paracliniques réalisées pour celles-ci (IRM des épaules gauche et droite, IRM cervical notamment). Sur la base de ses propres constatations, il a indiqué que l’examen clinique objectif était normal, qu’il ne révélait notamment aucune atteinte sensitive ou motrice des membres supérieurs, qu’il n’y avait pas non plus d’arguments en faveur d’un syndrome neurogène central ou périphérique, ni d’anomalie des réflexes ou de syndrome pyramidal. Il n’y avait également pas de signe d’irritation radiculaire. Le diagnostic non incapacitant de status après possible tendinopathie simple des supra- épineux des deux épaules, d’évolution favorable, objectivement cliniquement et radiologiquement, a été retenu par les experts sur les plans rhumatologique et neurologique de manière dûment étayée, procédé lege artis qui échappe à la critique. cc) L’experte psychiatre a retenu les diagnostics provisoirement incapacitants de troubles mentaux liés à l’usage de médicaments sédatifs (F13.1) et de troubles mentaux liés à l’usage d’opioïdes antalgiques, diagnostics probablement à l’origine d’effets indésirables (de type troubles de la concentration, sédation et ralentissement psychomoteur). Elle a de plus posé le diagnostic non incapacitant de syndrome douloureux somatoforme persistant (F45.4) évoluant depuis deux ans, retenu sur l’existence de plaintes somatiques multiples non entièrement expliquées par des causes somatiques, à l’origine d’une détresse psychique dont l’expression apparaissait majorée pour raisons psychiques. L’experte psychiatre n’a pas retenu de</w:t>
      </w:r>
    </w:p>
    <w:p>
      <w:r>
        <w:t>- 13 - comorbidité psychiatrique. Elle a indiqué que le ralentissement psychomoteur observé était susceptible de masquer ou modifier la symptomatologie anxio-dépressive et sous-jacente. Les conséquences psychiques lui semblaient exagérées au vu de la symptomatologie somatique et des constatations des co-experts cliniciens. Aussi, une majoration de plaintes psychiques pour raison psychologique ne pouvait pas être exclue. Pour le reste, l’experte a relevé chez l’assurée l’absence d’antécédents psychiques significatifs personnels ou familiaux et de perte d’intégration sociale dans toutes les manifestations de la vie, une autonomie partielle pour les activités de la vie quotidienne ainsi que l’existence de ressources personnelles et externes. De leur côté, les autres experts n’ont pas constaté d’atteinte à la santé somatique concomitante durablement incapacitante sur les plans de la médecine interne, de la neurologie ou de la rhumatologie. Au vu de ses propres constatations cliniques et de celles de ses collègues, l’experte psychiatre n’avait aucun motif de recueillir l’avis des médecins consultés, uniquement depuis le mois de mars 2023, au Centre de psychiatrie et psychothérapie K.________. dd) L’exclusion d’un trouble douloureux somatoforme persistant incapacitant est donc motivée à satisfaction par les experts du N.________, au terme d’une appréciation pondérée, convaincante, selon la jurisprudence topique, et consensuelle, car fondée sur la prise en compte de la situation examinée dans sa globalité. d) Vu ce qui précède, en se fondant sur le rapport d’expertise pluridisciplinaire du N.________, l’office intimé a constaté à juste titre que, sous la réserve de périodes d’incapacités totales de travail temporaires (à savoir depuis l’apparition des effets indésirables des médicaments [environ deux semaines avant l’expertise], du 8 février au 30 juin 2021 [traitement de la tendinopathie active de l’épaule gauche], durant quelques jours en lien avec la cholécystectomie par voie laparoscopique de 2020 et pendant quelques semaines en lien avec la cure de tunnel carpien bilatéral), les ennuis de santé de la recourante n’entravaient pas</w:t>
      </w:r>
    </w:p>
    <w:p>
      <w:r>
        <w:t>- 14 - l’exercice d’une activité professionnelle ; une pleine capacité de travail pouvait être recouvrée après sevrage des molécules sédatives prescrites. Aussi, la capacité de travail entière retenues dans toutes activités excluait-elle le droit aux prestations de l’assurance-invalidité, en particulier à une rente, en faveur de la recourante.</w:t>
      </w:r>
    </w:p>
    <w:p>
      <w:r>
        <w:rPr>
          <w:b/>
        </w:rPr>
        <w:t>E. 7</w:t>
      </w:r>
    </w:p>
    <w:p>
      <w:r>
        <w:t>a) Mal fondé, le recours doit par conséquent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Les frais judiciaires mis à sa charge ci-avant sont donc provisoirement supportés par l’Etat et Me Charlotte Palazzo peut prétendre à une équitable indemnité pour son mandat d’office, qu’il convient de fixer à 2'365 fr. 10, débours et TVA compris (art. 2, 3 al. 2 et 3bis RAJ [règlement cantonal du 7 décembre 2010 sur l’assistance judiciaire en matière civile ; BLV 211.02.3]).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