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ZD23.036956 vom 7. Oktober 2024</w:t>
      </w:r>
    </w:p>
    <w:p>
      <w:r>
        <w:t>VD Tribunal cantonal, 2024-10-07, FR</w:t>
      </w:r>
    </w:p>
    <w:p>
      <w:r>
        <w:rPr>
          <w:b/>
        </w:rPr>
        <w:t xml:space="preserve">Quelle: </w:t>
      </w:r>
      <w:r>
        <w:t>https://mcp.opencaselaw.ch/entscheid/vd_gerichte_ZD23.036956</w:t>
      </w:r>
    </w:p>
    <w:p>
      <w:r>
        <w:t>FR: VD_GERICHTE ZD23.036956 du 7 octobre 2024</w:t>
      </w:r>
    </w:p>
    <w:p>
      <w:r>
        <w:t>IT: VD_GERICHTE ZD23.036956 del 7 ottobre 2024</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w:t>
      </w:r>
    </w:p>
    <w:p>
      <w:r>
        <w:t>- 9 -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w:t>
      </w:r>
    </w:p>
    <w:p>
      <w:r>
        <w:t>- 10 -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Afin d’établir les atteintes à la santé de la recourante et leur éventuel caractère incapacitant, l’OAI a mis en œuvre une expertise bi- disciplinaire, neurologique et psychiatrique, qui a été faite par le S.________, dont le rapport a été reçu le 7 janvier 2022. aa) Le volet neurologique de cette expertise, réalisé par le Dr Z.________, peut se voir reconnaître une pleine valeur probante. Celui-ci s’est en effet prononcé en pleine connaissance du dossier et de l’anamnèse de la recourante, après avoir entendu ses plaintes et a pris ses conclusions de manière motivée et détaillée. Son examen clinique a certes été effectué alors que l’assurée était habillée, celle-ci ayant refusé de se dévêtir (expertise S.________ p. 15), et n’a de ce fait pas pu être complet, mais cela ne suffit pas en l’occurrence à écarter la valeur probante de ses</w:t>
      </w:r>
    </w:p>
    <w:p>
      <w:r>
        <w:t>- 11 - conclusions. Son examen neurologique a en effet pu porter sur les nerfs crâniens, la nuque, les membres supérieurs et inférieurs, l’équilibre et la démarche, seul le tronc n’a pas pu être examiné en raison des vêtements (expertise S.________ pp. 15-16). Le Dr Z.________ a exposé de manière claire et convaincante pour quelles raisons une infection liée à une piqûre de tique pouvait être exclue. Il s’est, d’une part, prononcé sur les résultats des sérologies effectuées et a notamment pris contact avec un infectiologue face à l’interprétation étonnante qui avait été faite de la sérologie de fin novembre 2019. D’autre part, sur le plan clinique, il a exposé pour quelles raisons on ne pouvait conclure à une maladie de Lyme chronique, relevant tout d’abord qu’il s’agissait d’une entité controversée qui faisait toujours débat, et ensuite que l’apparition des troubles n’était pas compatible au niveau temporel avec les différentes morsures (expertise S.________ p. 18). Il en conclut qu’il n’y a pas d’atteinte à la santé sur le plan neurologique et que le trouble neuropsychologique léger mis en évidence par le bilan effectué pourrait soit être neurodéveloppemental, soit en relation avec la symptomatologie anxieuse qui ressort des questionnaires auto-évaluatifs (ibidem). bb) Le volet psychiatrique de l’expertise du S.________, dans lequel la Dre L.________ a posé les diagnostics de trouble anxieux et dépressif mixte (F41.2) et de trouble de la personnalité sans précision (F60.9), ne peut en revanche pas se voir reconnaître de valeur probante. Il ressort de l’anamnèse familiale que l’assurée a vécu des situations de violences physiques et psychiques de la part de sa mère, qui ont donné lieu à des signalements auprès du Service de protection de la jeunesse, et qu’elle a également été confrontée à une scène de violence physique de la part de son père envers sa belle-mère (expertise S.________ p. 22). De manière totalement incompréhensible, dans l’examen de la personnalité, la Dre L.________ note, en lien avec des antécédents familiaux, carences affectives, traumatismes infantiles ou dans l’adolescence, qu’il n’y a eu aucun facteur prédisposant à une maladie psychiatrique (expertise S.________ p. 29) et elle ne revient d’ailleurs à aucun moment de l’expertise sur les violences vécues par la recourante dans le passé. Bien plus, le rapport d’expertise fait mention à deux reprises que la recourante</w:t>
      </w:r>
    </w:p>
    <w:p>
      <w:r>
        <w:t>- 12 - a été victime d’un viol (chapitres « mesures de traitements » p. 21 et « traitements médicaux suivis » p. 24), sans que l’experte ne l’interroge sur les circonstances de cet événement, dont l’anamnèse ne fait nullement mention. L’anamnèse, qui relatait de manière très succincte l’enfance pourtant chaotique de la recourante, est donc manifestement incomplète. L’expertise psychiatrique contient en outre plusieurs autres contradictions importantes. On relèvera notamment le fait que l’experte relève l’absence de phénomènes de dissociation dans le status (expertise S.________ p. 27) tout en mentionnant, dans son évaluation (expertise S.________ p. 31) les symptômes de déréalisation/dépersonnalisation rapportés par l’assurée, symptômes qui ressortent d’ailleurs uniquement de la synthèse du dossier, mais au sujet desquels l’assurée n’a pas été interrogée dans l’anamnèse psychiatrique, qui n’en fait pas mention. On constate également que l’assurée s’est plainte de maux de tête (expertise S.________ p. 21) alors que l’experte note une absence de céphalées de tension dans le status (expertise S.________ p. 27), et que l’assurée a dit qu’elle était alcoolisée lors du viol (expertise S.________ p. 21), mais qu’il est ensuite noté qu’elle ne consomme pas d’alcool (expertise S.________ p. 22). La Dre L.________ a fait réaliser un examen psychologique dont le rapport du 16 décembre 2021 est annexé à l’expertise du S.________. Celui-ci a conclu à un fonctionnement de la personnalité de registre état- limite caractérisé par l’opposition passive afin de lutter contre les besoins de dépendance affective dans des relations d’objet vécues sur un mode dominant/dominé où l’autre est au service des besoins propres. Il a également relevé des composantes narcissiques et de faux-self. La Dre L.________ ne mentionne ni ne discute des conclusions de ce rapport dans son expertise, quand bien même il est nécessaire, pour déterminer le caractère incapacitant d’une atteinte à la santé, de procéder à un examen de la personnalité de la personne assurée avec des exigences de motivation accrue (ATF 141 V 281 consid. 4.3 et les références citées). b) Le 5 avril 2022, soit quelques mois après cette expertise, la recourante a débuté un suivi psychiatrique auprès de la Dre D.________. Dans ses rapports des 22 août 2022 et 3 février 2023, celle-ci a conclu à l’existence d’une phobie sociale (F40.1) avec attaques de panique</w:t>
      </w:r>
    </w:p>
    <w:p>
      <w:r>
        <w:t>- 13 - occasionnelles, d’un trouble anxio-dépressif (F41.2) et d’un trouble de la personnalité mixte (traits évitants et obsessionnels ; F60.9), qui entravaient la capacité de travail de la recourante dans toute activité. Son rapport du 22 août 2022 comprend notamment une anamnèse détaillée, décrivant une instabilité affective et des violences familiales, une dépendance aux drogues de 16 à 17 ans, un abus sexuel et un état anxieux aigu à 17 ans, des difficultés d’autonomisation et l’existence d’une déformation nasale post opératoire en mai 2021. c) Dans le cadre de la présente procédure de recours, une expertise judiciaire a été mise en œuvre auprès du Dr K.________. Il convient de reconnaître une pleine valeur probante à son rapport d’expertise, daté du 8 mai 2024. L’expert judiciaire a pris connaissance de l’ensemble du dossier de la recourante, a rencontré l’assurée à deux reprises, les 24 et 30 avril 2024, et a également pris contact avec sa psychiatre traitante. Il a recueilli une anamnèse complète, en interrogeant l’assurée notamment sur les relations avec ses parents, la situation de viol et en la questionnant sur d’éventuels signes d’inattention ou d’hyperactivité-impulsivité durant sa scolarité. Il conclut qu’il est difficile de différencier l’affection actuelle d’un continuum de difficultés vécues depuis le jeune âge, l’assurée décrivant des relations très problématiques avec ses deux parents et les nouveaux conjoints de sa mère, des idées noires à l’adolescence, une difficulté à se définir et à définir un objectif de vie, quelques comportements de scarification à l’adolescence, puis une période de consommation de substances psychoactives entre 16 et 18 ans. Le Dr K.________ a pris note des plaintes de la recourante et utilisé des questionnaires spécifiques (symptômes dissociatifs, évaluation de l’anxiété sociale) pour mieux déterminer les symptômes présents. Il a procédé à un examen clinique détaillé, complété également par plusieurs tests (échelle de dépression, inventaire d’anxiété, échelle de phobie sociale, dissociative experiences scale, échelle d’évaluation de l’état de stress post-traumatique). Il a posé les diagnostics de trouble dissociatif (avec symptômes sensoriels ; F44.6) incluant un syndrome de déréalisation/dépersonnalisation (F48.1), de trouble mixte de la personnalité (avec des caractéristiques anxieuses et émotionnellement</w:t>
      </w:r>
    </w:p>
    <w:p>
      <w:r>
        <w:t>- 14 - labiles ; F61.0) et de phobie sociale (F40.1). Il a expliqué de manière précise et argumentée pour quelle raison il a retenu les diagnostics précités et écarté d’autres diagnostics différentiels. Il retient qu’en considérant les éléments biographiques de façon globale (violence familiale, vécus d’effroi, malaises évoquant des symptômes dissociatifs, viol banalisé), l’assurée disposait d’importants facteurs de risque de développer un grave trouble psychiatrique, avec une dimension traumatique. Il convenait selon lui d’examiner les diagnostics différentiels pouvant être en lien avec les symptômes physiques et psychiques qu’aucun trouble neurologique ne venait expliquer. Il a dès lors passé en revue les différents troubles d’origine traumatique, indiquant pour chacun d’eux les critères réalisés ou non dans le cas d’espèce (expertise judiciaire pp. 17-20). Il pose ainsi le diagnostic de trouble dissociatif, au motif que l’assurée a décrit des phases de dépersonnalisation (impression de ne pas se reconnaître dans le miroir, d’être « perdue dans le vide ») et de déréalisation (« brouillard cérébral »), de même que des amnésies dissociatives (elle se perd à l’extérieur si elle n’est pas accompagnée), mais qu’elle garde néanmoins son insight et que ces troubles ne surviennent pas dans un contexte d’obnubilation de la conscience, d’état confusionnel ou d’épilepsie. Le Dr K.________ précise que ce diagnostic revêt une grande importance vu qu’il sous-tend la majeure partie des plaintes de l’assurée et des limitations ressenties (expertise judiciaire pp. 19-20). L’expert judiciaire confirme le diagnostic de phobie sociale posé par la Dre D.________, l’assurée ayant la crainte d’être exposée à l’observation attentive d’autrui et de groupes relativement restreints, présentant des comportements marqués d’évitement, une baisse de l’estime de soi, ainsi que la peur du jugement et de la critique, symptômes qui ne sont pas dus à des idées délirantes ou des pensées obsessionnelles et qui surviennent principalement dans les situations sociales. Il estime que cette phobie sociale a été aggravée par les symptômes dissociatifs et la chirurgie nasale ayant altéré l’image de l’assurée, sur la base d’une identité narcissique fragile (expertise judiciaire pp. 20-21).</w:t>
      </w:r>
    </w:p>
    <w:p>
      <w:r>
        <w:t>- 15 - Le Dr K.________ retient également, à l’instar de la Dre D.________ et de la Dre L.________, l’existence d’un trouble de la personnalité. Il relève les éléments qui, selon lui, orientent vers une composante émotionnellement labile de personnalité, laquelle comporte par ailleurs certains fonctionnements problématiques qu’il juge bien décrits dans l’examen de personnalité complémentaire réalisé dans le cadre de l’expertise du S.________ auquel il se réfère. Il rejoint en outre la Dre D.________ sur le fait que les critères de personnalité évitante sont aussi remplis, mais n’observe en revanche pas l’aspect obsessionnel constaté par cette dernière (expertise judiciaire p. 22). L’expert judiciaire expose ensuite les raisons pour lesquelles il ne lui a pas paru nécessaire de retenir une comorbidité de trouble anxieux et dépressif mixte. Il estime notamment que les manifestations thymiques de l’assurée doivent plutôt être incluses dans les caractéristiques de fonctionnement du trouble de la personnalité et précise que les symptômes de fatigue que comprend l’échelle d’évaluation MADRS peuvent être rattachés aux symptômes dissociatifs plus que dépressifs, tout comme les troubles de la concentration qui découlent du « brouillard cérébral » et que l’on peut rattacher aux symptômes de déréalisation/ dépersonnalisation (expertise judiciaire pp. 22-23). Finalement, l’expert judiciaire écarte le diagnostic de perturbation de l’activité et de l’attention (F90.0) évoqué par la Dre V.________ dans son rapport du 27 juillet 2020 dans la mesure où l’anamnèse structurée de cette pathologie n’amène pas d’argument suffisant et spécifique. Selon lui, les symptômes d’inattention rapportés par l’assurée découlent de la dissociation psychique. Le Dr K.________ a procédé à une évaluation de la capacité de travail de la recourante en application des critères dégagés à cette fin par la jurisprudence (cf. consid. 4e ci-dessus). Il a ainsi tenu compte de la gravité fonctionnelle des différents diagnostics retenus et de leur interaction entre eux. Il s’est prononcé sur le traitement suivi, relevant</w:t>
      </w:r>
    </w:p>
    <w:p>
      <w:r>
        <w:t>- 16 - que le profil psychique de l’assurée expliquait sa réticence à entamer une démarche de soins psychiques jusqu’au suivi, désormais bien investi, auprès de la Dre D.________ et qu’il n’y avait pas de médication reconnue efficace dans les troubles dissociatifs. Il a procédé à un examen détaillé de la personnalité de l’assurée et de ses ressources, discutant chaque item de la mini CIF-APP et s’est également prononcé sur la cohérence. S’agissant des limitations fonctionnelles et de la capacité de travail, il relève que, déjà dans l’expertise du S.________, on peut constater que l’expertisée affichait un fonctionnement très ritualisé dans un mécanisme important de retrait. A ses yeux, le fait que le SMR indique que l’assurée est autonome lorsqu’elle est dans un environnement connu avec des interactions restreintes constitue une contradiction et une banalisation de sa situation, puisqu’une personne qui a besoin de se retirer la plupart du temps à la maison et qui s’appuie sur ses grands-parents pour de nombreux aspects de la vie manque d’autonomie. Il expose que les manifestations dissociatives sont pour l’instant trop sévères pour permettre une intégration en économie libre, d’autant plus que les symptômes de phobie sociale s’y ajoutent et renforcent le manque d’ajustement à la réalité sociale et professionnelle. C’est ainsi de manière convaincante que l’expert judiciaire conclut à l’existence d’une totale incapacité de travail dans toutes activités depuis le 22 juin 2019. d) Les conclusions probantes de l’expertise judiciaire – reconnues comme telles par l’OAI (déterminations du 10 juin 2024), le SMR (avis du 23 mai 2024) et la recourante (déterminations du 13 juin 2024) – entraînent l’existence d’une totale incapacité de gain dans toutes activités depuis le 22 juin 2019 et par conséquent une invalidité de 100 %. Compte tenu du délai de carence d’une année de l’art. 28 al. 1 let. b LAI, le droit à une rente entière d’invalidité s’ouvre à partir du 1er juin 2020, étant précisé que la demande de prestations a été déposée plus de six mois avant cette date (art. 29 al. 1 LAI).</w:t>
      </w:r>
    </w:p>
    <w:p>
      <w:r>
        <w:rPr>
          <w:b/>
        </w:rPr>
        <w:t>E. 6</w:t>
      </w:r>
    </w:p>
    <w:p>
      <w:r>
        <w:t>a) Selon la jurisprudence, les frais d'expertise judiciaire font partie des frais de procédure (ATF 139 V 496 consid. 4.6 et les références). Aux termes de l'art. 45 al. 1 LPGA, les frais de l'instruction sont pris en</w:t>
      </w:r>
    </w:p>
    <w:p>
      <w:r>
        <w:t>- 17 - charge par l'assureur qui a ordonné les mesures ;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l’autorité intimée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précité consid. 7). b) En l’occurrence, la Cour de céans a mis en œuvre une expertise judiciaire auprès du Dr K.________ en raison des nombreuses lacunes du volet psychiatrique de l’expertise réalisée par la Dre L.________ du S.________ (cf. supra consid. 5a/bb). Dans ces conditions, il se justifie de mettre à la charge de l’intimé la totalité des frais qui ont été nécessaires à la mise en œuvre de l’expertise judiciaire, soit un montant de 8'735 fr.</w:t>
      </w:r>
    </w:p>
    <w:p>
      <w:r>
        <w:t>- 18 - conformément à la note d’honoraires produite le 3 juin 2024 par le Dr K.________.</w:t>
      </w:r>
    </w:p>
    <w:p>
      <w:r>
        <w:rPr>
          <w:b/>
        </w:rPr>
        <w:t>E. 7</w:t>
      </w:r>
    </w:p>
    <w:p>
      <w:r>
        <w:t>a) Le recours est admis. La décision attaquée est réformée en ce sens que l’assurée a droit à une rente entière d’invalidité dès le 1er juin 2020.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4'400 fr., débours et TVA compris (art. 10 et 11 TFJDA [tarif du 28 avril 2015 des frais judiciaires et des dépens en matière administrative ; BLV 173.36.5.1]), et de la mettre à la charge de la partie intimée. Cette indemnité couvre au moins ce qui aurait dû être versé au titre de l’assistance judiciaire. Il n’y a donc pas lieu de fixer plus précisément l’indemnité pour le mandat d’office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