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ZD23.034253 vom 11. Juni 2024</w:t>
      </w:r>
    </w:p>
    <w:p>
      <w:r>
        <w:t>VD Tribunal cantonal, 2024-06-11, FR</w:t>
      </w:r>
    </w:p>
    <w:p>
      <w:r>
        <w:rPr>
          <w:b/>
        </w:rPr>
        <w:t xml:space="preserve">Quelle: </w:t>
      </w:r>
      <w:r>
        <w:t>https://mcp.opencaselaw.ch/entscheid/vd_gerichte_ZD23.034253</w:t>
      </w:r>
    </w:p>
    <w:p>
      <w:r>
        <w:t>FR: VD_GERICHTE ZD23.034253 du 11 juin 2024</w:t>
      </w:r>
    </w:p>
    <w:p>
      <w:r>
        <w:t>IT: VD_GERICHTE ZD23.034253 del 11 giugno 2024</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w:t>
      </w:r>
    </w:p>
    <w:p>
      <w:r>
        <w:t>- 7 -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L’évaluation du taux d’invalidité des assurés exerçant une activité lucrative est régie par l’art. 16 LPGA. A cette fin, le revenu que l’assuré aurait pu obtenir s’il n’était pas atteint dans sa santé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w:t>
      </w:r>
    </w:p>
    <w:p>
      <w:r>
        <w:t>- 8 - la question de savoir quelle activité peut encore être raisonnablement exigée de la part de la personne assurée (ATF 132 V 93 consid. 4 et les références ; TF 9C_107/2017 du 8 septembre 2017 consid. 5.1). d) Il découle de l’art. 61 let. c LPGA que le juge apprécie librement les preuves médicales, de manière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4</w:t>
      </w:r>
    </w:p>
    <w:p>
      <w:r>
        <w:t>L’OAI a refusé de prester au motif que l’assuré était capable de travailler à plein temps dans toutes activités. Le recourant conteste l’appréciation de sa capacité de travail et soutient qu’il ne peut travailler qu’à 60 % comme c’est le cas actuellement. Le recourant dit avoir réduit son taux de travail à 60 % en suivant l’avis de son médecin qui avait préconisé de faire une pause de 10-15 minutes toutes les heures. Depuis lors, il sentait une amélioration de son état. Force est toutefois de constater qu’aucun certificat médical n’a été établi avant que l’assuré ne réduise son taux d’activité. L’employeur de l’assuré a d’ailleurs précisé que celui-ci n’avait pas été</w:t>
      </w:r>
    </w:p>
    <w:p>
      <w:r>
        <w:t>- 9 - absent pour des raisons de maladie et qu’il n’avait pas été informé de quelconques problèmes de santé concernant l’intéressé. Selon l’employeur, l’assuré ne rencontrait aucune limitation dans l’accomplissement de ses tâches, lesquelles étaient essentiellement partagées entre la tenue de la caisse, l’accueil de clients, le nettoyage et le remplissage, ainsi que la tenue du réfectoire à titre plus accessoire (cf. rapport employeur complété le 2 août 2022). En outre, l’ophtalmologue traitante ne fait état d’aucune aggravation de la pathologie de l’assuré, présente depuis son enfance, et atteste d’une situation stationnaire. Malgré cela, la Dre W.________ retient une capacité de travail de 60 %, sans autre justification qu’une limitation à l’effort visuel. Cela n’apparait pas justifié, ce d’autant qu’au vu de la description du poste de l’assuré, celui-ci parait adapté à son état de santé et ne regroupe pas que des activités réalisées sur un écran. Concernant le traitement, seules des larmes artificielles ont été prescrites par l’ophtalmologue et aucune opération n’était prévue, hormis pour des raisons purement esthétiques (rapports des 12 juillet et 22 septembre 2022). La médecin traitante s’est quant à elle limitée à rapporter les symptômes décrits par l’assuré, sans les étayer médicalement. Les rapports des deux médecins sont d’ailleurs très peu développés. Enfin, la médecin traitante renvoie à l’appréciation de l’ophtalmologue s’agissant de la capacité de travail, tandis que cette dernière se réfère à l’avis de la médecin traitante, quand bien même la seule problématique de l’assuré est ophtalmologique. Ainsi, aucun document n’atteste une aggravation de l’état de santé de l’assuré dans la mesure où il le prétend. Rien ne justifie d’un point de vue médical la réduction du taux d’activité pratiquée par l’assuré, laquelle est adaptée, ce dont il consent également (cf. rapport d’entretien du 30 novembre 2022). Vu ce qui précède, l’OAI pouvait refuser d’accorder des prestations à l’assuré.</w:t>
      </w:r>
    </w:p>
    <w:p>
      <w:r>
        <w:rPr>
          <w:b/>
        </w:rPr>
        <w:t>E. 5</w:t>
      </w:r>
    </w:p>
    <w:p>
      <w:r>
        <w:t>a) Partant, le recours doit être rejeté et la décision litigieuse confirmée.</w:t>
      </w:r>
    </w:p>
    <w:p>
      <w:r>
        <w:t>- 10 -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