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ZD23.030483 vom 16. April 2025</w:t>
      </w:r>
    </w:p>
    <w:p>
      <w:r>
        <w:t>VD Tribunal cantonal, 2025-04-16, FR</w:t>
      </w:r>
    </w:p>
    <w:p>
      <w:r>
        <w:rPr>
          <w:b/>
        </w:rPr>
        <w:t xml:space="preserve">Quelle: </w:t>
      </w:r>
      <w:r>
        <w:t>https://mcp.opencaselaw.ch/entscheid/vd_gerichte_ZD23.030483</w:t>
      </w:r>
    </w:p>
    <w:p>
      <w:r>
        <w:t>FR: VD_GERICHTE ZD23.030483 du 16 avril 2025</w:t>
      </w:r>
    </w:p>
    <w:p>
      <w:r>
        <w:t>IT: VD_GERICHTE ZD23.030483 del 16 aprile 2025</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w:t>
      </w:r>
    </w:p>
    <w:p>
      <w:r>
        <w:t>- 12 -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d)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w:t>
      </w:r>
    </w:p>
    <w:p>
      <w:r>
        <w:t>- 13 - prochaine soit à craindre (art. 88a al. 1 RAI). Ces dispositions sont applicables, par analogie, lorsqu’un office de l’assurance-invalidité alloue, avec effet rétroactif, une rente d’invalidité temporaire ou échelonnée (ATF 145 V 209 consid. 5.3 ; 131 V 164 consid. 2.2 ; 125 V 413 consid. 2d).</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w:t>
      </w:r>
    </w:p>
    <w:p>
      <w:r>
        <w:t>- 14 - comme expertise, mais bel et bien son contenu (ATF 134 V 231 consid. 5.1 ; 125 V 351 consid. 3a ; TF 8C_71/2024 du 30 août 2024 consid. 3.3). c)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w:t>
      </w:r>
    </w:p>
    <w:p>
      <w:r>
        <w:rPr>
          <w:b/>
        </w:rPr>
        <w:t>E. 9</w:t>
      </w:r>
    </w:p>
    <w:p>
      <w:r>
        <w:t>Le dossier est complet et permet à la Cour de céans de statuer en pleine connaissance de cause. Il n’y a dès lors pas lieu de compléter l’instruction par l’audition des témoins requis par la recourante. Une telle mesure ne serait pas de nature à modifier les considérations qui précèdent, les faits pertinents ayant pu être constatés à satisfaction de droit (appréciation anticipée de la pertinence des preuves : ATF 145 I 167 consid. 4.1 ; 140 I 285 consid. 6.3.1). La requête de la recourante en ce sens doit ainsi être rejetée.</w:t>
      </w:r>
    </w:p>
    <w:p>
      <w:r>
        <w:rPr>
          <w:b/>
        </w:rPr>
        <w:t>E. 10</w:t>
      </w:r>
    </w:p>
    <w:p>
      <w:r>
        <w:t>a) En définitive, le recours, mal fondé, doit être rejeté et la décision attaquée confirmée. b) La procédure de recours en matière de contestations portant sur l’octroi ou le refus de prestation de l’AI devant le tribunal cantonal des assurances est soumise à des frais de justice (art. 69 al. 1bis LAI). En l’espèce, les frais judiciaires, arrêtés à 600 fr., sont mis à la charge de la recourante, qui succombe.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