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ZD23.027681 vom 14. September 2023</w:t>
      </w:r>
    </w:p>
    <w:p>
      <w:r>
        <w:t>VD Tribunal cantonal, 2023-09-14, FR</w:t>
      </w:r>
    </w:p>
    <w:p>
      <w:r>
        <w:rPr>
          <w:b/>
        </w:rPr>
        <w:t xml:space="preserve">Quelle: </w:t>
      </w:r>
      <w:r>
        <w:t>https://mcp.opencaselaw.ch/entscheid/vd_gerichte_ZD23.027681</w:t>
      </w:r>
    </w:p>
    <w:p>
      <w:r>
        <w:t>FR: VD_GERICHTE ZD23.027681 du 14 septembre 2023</w:t>
      </w:r>
    </w:p>
    <w:p>
      <w:r>
        <w:t>IT: VD_GERICHTE ZD23.027681 del 14 settembre 2023</w:t>
      </w:r>
    </w:p>
    <w:p>
      <w:pPr>
        <w:pStyle w:val="Heading2"/>
      </w:pPr>
      <w:r>
        <w:t>Erwägungen</w:t>
      </w:r>
    </w:p>
    <w:p>
      <w:r>
        <w:rPr>
          <w:b/>
        </w:rPr>
        <w:t>E. 4</w:t>
      </w:r>
    </w:p>
    <w:p>
      <w:r>
        <w:t>Des modifications législatives et réglementaires sont entrées en vigueur au 1er janvier 2022 dans le cadre du Développement continu de l'assurance-invalidité (LAI, modification du 19 juin 2020, RO 2021 705 ; RAI [règlement du 17 janvier 1961 sur l’assurance-invalidité ; RS 831.201], modification du 3 novembre 2021, RO 2021 706). Conformément aux principes généraux en matière de droit transitoire, l'ancien droit reste applicable au cas particulier, au vu de la date de la décision litigieuse (ATF 144 V 210 consid. 4.3.1 ; 138 V 176 consid. 7.1 ; TF 9C_881/2018 du</w:t>
      </w:r>
    </w:p>
    <w:p>
      <w:r>
        <w:rPr>
          <w:b/>
        </w:rPr>
        <w:t>E. 6</w:t>
      </w:r>
    </w:p>
    <w:p>
      <w:r>
        <w:t>a) Selon l’art. 29bis RAI (règlement du 17 janvier 1961 sur l’assurance-invalidité ; RS 831.201),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b) L’art. 88a al. 1 RAI précise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Selon l’art. 88a al. 2 RAI, si la capacité de gain ou la capacité d’accomplir les travaux habituels de l’assuré se dégrade, ou si son impotence ou encore le besoin de soins ou le besoin d’aide découlant de son invalidité s’aggrave, ce changement est déterminant pour l’accroissement du droit aux prestations dès qu’il a duré trois mois sans interruption notable.</w:t>
      </w:r>
    </w:p>
    <w:p>
      <w:r>
        <w:t>- 18 - c) La survenance de l’invalidité doit en principe être déterminée eu égard à chaque catégorie de prestations séparément. Il peut se produire une succession de causes d’invalidité différentes qui entraînent autant de survenances successives de l’invalidité. D’autre part, une seule et même cause d’invalidité peut entraîner au cours du temps plusieurs cas d’assurance. Le principe de l’unité du cas d’assurance n’est donc pas absolu et il cesse d’être applicable lorsque l’invalidité subit des interruptions notables ou lorsque l’évolution de l’état de santé ne permet plus d’admettre l’existence d’un lien de fait et de temps entre les différentes phases qui deviennent autant de cas nouveaux de survenance de l’invalidité (TF 9C_36/2015 du 29 avril 2015 consid. 5.2 ; cf. également : Michel Valterio, Droit de l’assurance-vieillesse et survivants (AVS) et de l’assurance-invalidité (AI), Genève, Zurich, Bâle, 2011, p. 342, n. 1234 et 11235). d) La règle de l’art. 29bis RAI s’applique seulement lorsque l’atteinte à la santé qui donné naissance au droit s’est réactivée et provoque un regain d’invalidité de degré élevé qui a duré trente jours consécutifs au moins. Elle n’est en revanche pas applicable lorsque l’assuré, autrefois bénéficiaire d’une rente d’invalidité, subit une nouvelle invalidité à la suite d’une maladie ou d’un accident qui n’était pas à l’origine de l’invalidité pour laquelle la rente avait été précédemment allouée. Il en va de même lorsque la rente avait été refusée en raison d’un degré d’invalidité insuffisant et qu’il y a par la suite une aggravation de l’atteinte à la santé. Il s’agit alors d’un nouveau cas d’assurance, de sorte que le délai d’attente de trois cent soixante-cinq jours recommence à courir (cf. Michel Valterio, Commentaire de la loi sur l’assurance-invalidité, Genève/Zurich/Bâle 2018, n° 18 ad. art. 28 LAI, p. 393, et références citées).</w:t>
      </w:r>
    </w:p>
    <w:p>
      <w:r>
        <w:rPr>
          <w:b/>
        </w:rPr>
        <w:t>E. 7</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w:t>
      </w:r>
    </w:p>
    <w:p>
      <w:r>
        <w:t>- 19 -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La jurisprudence attache une présomption d'objectivité aux expertises confiées par l'administration à des médecins spécialistes externes, ainsi qu'aux expertises judiciaires pour résoudre un cas litigieux.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w:t>
      </w:r>
    </w:p>
    <w:p>
      <w:r>
        <w:t>- 20 - cause leur bien-fondé (ATF 125 V 351 consid. 3b/ee et la référence citée ; TF 8C_565/2008 du 27 janvier 2009 consid. 3.3.2).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8</w:t>
      </w:r>
    </w:p>
    <w:p>
      <w:r>
        <w:t>a) L'assuré peut soulever des motifs « formels » de récusation d’un expert, mais également des motifs « matériels » de récusation, soit tous motifs pertinents au sens de l’art. 44 LPGA. Les motifs de récusation qui sont énoncés dans la loi (cf. art. 10 PA [loi fédérale du 20 décembre 1968 sur la procédure administrative ; RS 172.021] et 36 al. 1 LPGA [intérêt personnel, lien de parenté, représentation d’une partie ou opinion préconçue pour une autre raison])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défiance quant à l'impartialité de ce dernier. Bien au contraire, ce grief devra être examiné dans le cadre de l'appréciation des preuves (ATF 137 V 210 consid. 3.4.2 ; 132 V 93 consid. 6.5 ; TF 9C 293/2008 du 28 janvier 2009 consid. 2 et 3). b) Un expert passe pour prévenu lorsqu'il existe des circonstances propres à faire naître un doute sur son impartialité. Dans ce</w:t>
      </w:r>
    </w:p>
    <w:p>
      <w:r>
        <w:t>- 21 -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 TF 9C_293/2008 du 28 janvier 2009 précité).</w:t>
      </w:r>
    </w:p>
    <w:p>
      <w:r>
        <w:rPr>
          <w:b/>
        </w:rPr>
        <w:t>E. 9</w:t>
      </w:r>
    </w:p>
    <w:p>
      <w:r>
        <w:t>En l’occurrence, la recourante estime que le rapport d’expertise du M.________SA devrait être écarté, soulignant notamment son « impression que le M.________SA est à la solde de l’Office AI et rend des expertises volumineuses, incomplètes et partiales ». On ne saurait, à l’évidence, conclure à la partialité des experts concernés sur la base des seuls arguments avancés par la recourante, fondés précisément sur ses impressions, et non sur des éléments objectifs, en dépit des exigences posées par la jurisprudence fédérale précitée. S’agissant au surplus du volume du rapport d’expertise incriminé, on observe que celui-ci contient une septantaine de pages d’analyse et un nombre conséquent d’annexes, les experts ayant recueilli diverses pièces médicales supplémentaires, en sus d’avoir requis un examen neurologique auprès du Dr X.________. Compte tenu de la pluralité des disciplines médicales investiguées et du long historique médical de la recourante, il n’apparaît pas que le rapport des spécialistes du M.________SA puisse être qualifié de prolixe. Sa valeur probante sera au demeurant examinée dans les considérants ci-après.</w:t>
      </w:r>
    </w:p>
    <w:p>
      <w:r>
        <w:rPr>
          <w:b/>
        </w:rPr>
        <w:t>E. 10</w:t>
      </w:r>
    </w:p>
    <w:p>
      <w:r>
        <w:t>La recourante a fait l’objet d’une expertise pluridisciplinaire sur les plans de la médecine interne, psychiatrique et orthopédique au sein du M.________SA. Les volets de médecine interne et de psychiatrie ne prêtent pas flanc à la critique. On peut remarquer que les spécialistes du M.________SA ont procédé à des examens approfondis de la situation, retraçant notamment l’ensemble des pathologies affectant ou ayant affecté la recourante. Ils ont considéré que la recourante ne rencontrait aucune limitation psychique en dépit d’un trouble de la personnalité</w:t>
      </w:r>
    </w:p>
    <w:p>
      <w:r>
        <w:t>- 22 - (trouble mixte de la personnalité, à traits immatures, dépendants et alexithymiques), ni aucune restriction du registre de la médecine interne. Cette appréciation n’est pas sérieusement remise en question par la recourante et peut être confirmée, celle-ci ne bénéficiant au demeurant d’aucun suivi spécialisé, hormis sur le plan orthopédique, singulièrement neurochirurgical. On ajoutera que le diagnostic d’un état de stress post- traumatique, évoqué par le mandataire de la recourante lors de l’audience du 18 août 2023, ne repose sur aucun élément clinique et n’a été posé par aucun spécialiste en psychiatrie, ni même aucun des médecins traitants de la recourante. Il peut donc être écarté sans plus ample examen.</w:t>
      </w:r>
    </w:p>
    <w:p>
      <w:r>
        <w:rPr>
          <w:b/>
        </w:rPr>
        <w:t>E. 11</w:t>
      </w:r>
    </w:p>
    <w:p>
      <w:r>
        <w:t>a) Le volet orthopédique a été analysé par le Dr P.________ pour le compte du M.________SA, lequel s’est adjoint les services du Dr X.________ pour procéder à un examen neurologique du nerf fémoro- cutané et s’est procuré les documents médicaux actualisés relatifs aux problèmes rencontrés par la recourante au membre supérieur droit (coude et épaule ; cf. rapport du Dr X.________ du 12 décembre 2019 à la Dre T.________, ainsi que compte-rendu opératoire du Dr N.________ du</w:t>
      </w:r>
    </w:p>
    <w:p>
      <w:r>
        <w:rPr>
          <w:b/>
        </w:rPr>
        <w:t>E. 16</w:t>
      </w:r>
    </w:p>
    <w:p>
      <w:r>
        <w:t>a) En définitive, le recours, mal fondé, doit être rejeté et la décision de l’intimé du 8 avril 2021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la recourante qui succombe. Ils sont toutefois provisoirement laissés à la charge de l’Etat, puisqu’elle a été mise au bénéfice de l’assistance judiciaire par décision du 20 juillet 2021. c) En outre, n’obtenant pas gain de cause, la recourante ne saurait prétendre des dépens (art. 55 al. 1 LPA-VD et art 61, let. g, LPGA). d) Me Duc a été désigné en qualité d’avocat d’office à compter du 11 mai 2021 jusqu’au terme de la procédure (art. 118 al. 1, let. c, CPC [Code de procédure civile du 19 décembre 2008 ; RS 272], applicable par renvoi de l'art. 18 al. 5 LPA-VD). Il a produit le relevé des opérations effectuées le 31 octobre 2022, justifiant 7 heures et 40 minutes de travail au profit de sa cliente. Les opérations comptabilisées entrent dans le champ temporel et matériel du mandat confié à Me Duc. Dès lors, il y a lieu de prendre en considération 7 heures et 40 minutes au tarif horaire de 180 fr. (art. 2 al. 1, let. a et b, RAJ [règlement cantonal vaudois du 7 décembre 2010 sur l'assistance judiciaire civile ; BLV 211.02.3]), Quant aux opérations effectuées entre le 7 juillet et le 18 août 2023, le temps total comptabilisé par Me Duc à hauteur de 4 heures et 25 minutes peut être ramené à un total de 3 heures, ce qui tient compte adéquatement de l’étude du dossier, de la reprise des arguments précédemment avancés au stade du mémoire de recours du 11 mai 2021 et de l’audience du 18 août 2023.</w:t>
      </w:r>
    </w:p>
    <w:p>
      <w:r>
        <w:t>- 28 - C’est en définitive un total de 10 heures et 40 minutes qu’il s’agit de retenir au tarif horaire de 180 francs. Il convient d’ajouter des débours à concurrence de 96 fr. et la TVA au taux de 7,7% à hauteur de 155 fr. 25, ce qui représente un montant total de 2’171 fr. 25 pour l'ensemble des opérations assumées dans la présente cause. Cette rémunération est provisoirement supportée par le canton, dont la subrogation demeure réservée (cf. art. 122 al. 2 in fine CPC, également applicable sur renvoi). Il est précisé ici que l’arrêt cantonal du 24 novembre 2022 (en la cause AI 181/21 – 355/2022) avait comptabilisé un montant de 1'560 fr. 55 au titre des honoraires dus à Me Duc pour son intervention en faveur de la recourante, débours et TVA compris. Il y a lieu de retrancher ce montant de la somme due en l’état à l’intéressé pour autant qu’il ait d’ores et déjà été indemnisé à la suite de l’arrêt précité. e) La recourante est rendue attentive au fait qu'elle est tenue de rembourser la somme de 2’771 fr. 25 (2’171 fr. 25 + 600 fr.) dès qu'elle sera en mesure de le faire en vertu de l’art. 123 al. 1 CPC précité. Il incombera à la Direction du recouvrement de la Direction générale des affaires institutionnelles et des communes (auparavant : le Service juridique et législatif ; cf. art. 5 RAJ)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